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33DAE" w:rsidRPr="00DF31C5" w:rsidTr="00175A9F">
        <w:tc>
          <w:tcPr>
            <w:tcW w:w="3652" w:type="dxa"/>
          </w:tcPr>
          <w:p w:rsidR="00AD6C9F" w:rsidRPr="00DF31C5" w:rsidRDefault="00AD6C9F" w:rsidP="00033DAE">
            <w:pPr>
              <w:jc w:val="center"/>
              <w:rPr>
                <w:sz w:val="26"/>
                <w:szCs w:val="26"/>
              </w:rPr>
            </w:pPr>
            <w:r w:rsidRPr="00DF31C5">
              <w:rPr>
                <w:sz w:val="26"/>
                <w:szCs w:val="26"/>
              </w:rPr>
              <w:t>UBND TỈNH ĐẮK NÔNG</w:t>
            </w:r>
          </w:p>
          <w:p w:rsidR="00AD6C9F" w:rsidRPr="00DF31C5" w:rsidRDefault="00AD6C9F" w:rsidP="00033DAE">
            <w:pPr>
              <w:jc w:val="center"/>
              <w:rPr>
                <w:b/>
                <w:sz w:val="26"/>
                <w:szCs w:val="26"/>
              </w:rPr>
            </w:pPr>
            <w:r w:rsidRPr="00DF31C5">
              <w:rPr>
                <w:b/>
                <w:sz w:val="26"/>
                <w:szCs w:val="26"/>
              </w:rPr>
              <w:t>SỞ LAO ĐỘNG</w:t>
            </w:r>
          </w:p>
          <w:p w:rsidR="00AD6C9F" w:rsidRPr="00DF31C5" w:rsidRDefault="00AD6C9F" w:rsidP="00033DAE">
            <w:pPr>
              <w:jc w:val="center"/>
              <w:rPr>
                <w:b/>
                <w:sz w:val="26"/>
                <w:szCs w:val="26"/>
              </w:rPr>
            </w:pPr>
            <w:r w:rsidRPr="00DF31C5">
              <w:rPr>
                <w:b/>
                <w:sz w:val="26"/>
                <w:szCs w:val="26"/>
              </w:rPr>
              <w:t>THƯƠNG BINH VÀ XÃ HỘI</w:t>
            </w:r>
          </w:p>
          <w:p w:rsidR="00AD6C9F" w:rsidRPr="00DF31C5" w:rsidRDefault="00AD6C9F" w:rsidP="00033DAE">
            <w:r w:rsidRPr="00DF31C5">
              <w:rPr>
                <w:noProof/>
              </w:rPr>
              <mc:AlternateContent>
                <mc:Choice Requires="wps">
                  <w:drawing>
                    <wp:anchor distT="4294967295" distB="4294967295" distL="114300" distR="114300" simplePos="0" relativeHeight="251659264" behindDoc="0" locked="0" layoutInCell="1" allowOverlap="1" wp14:anchorId="410E25C8" wp14:editId="56CC339C">
                      <wp:simplePos x="0" y="0"/>
                      <wp:positionH relativeFrom="column">
                        <wp:posOffset>616156</wp:posOffset>
                      </wp:positionH>
                      <wp:positionV relativeFrom="paragraph">
                        <wp:posOffset>12700</wp:posOffset>
                      </wp:positionV>
                      <wp:extent cx="900752"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4A8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pt" to="11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RT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"/>
                  </w:pict>
                </mc:Fallback>
              </mc:AlternateContent>
            </w:r>
          </w:p>
          <w:p w:rsidR="00AD6C9F" w:rsidRPr="00DF31C5" w:rsidRDefault="00AD6C9F" w:rsidP="00033DAE">
            <w:r w:rsidRPr="00DF31C5">
              <w:t>Số:              /BC-SLĐTBXH</w:t>
            </w:r>
          </w:p>
        </w:tc>
        <w:tc>
          <w:tcPr>
            <w:tcW w:w="5670" w:type="dxa"/>
          </w:tcPr>
          <w:p w:rsidR="00AD6C9F" w:rsidRPr="00DF31C5" w:rsidRDefault="00AD6C9F" w:rsidP="00033DAE">
            <w:pPr>
              <w:jc w:val="center"/>
              <w:rPr>
                <w:b/>
                <w:sz w:val="26"/>
                <w:szCs w:val="26"/>
              </w:rPr>
            </w:pPr>
            <w:r w:rsidRPr="00DF31C5">
              <w:rPr>
                <w:b/>
                <w:sz w:val="26"/>
                <w:szCs w:val="26"/>
              </w:rPr>
              <w:t>CỘNG HÒA XÃ HỘI CHỦ NGHĨA VIỆT NAM</w:t>
            </w:r>
          </w:p>
          <w:p w:rsidR="00AD6C9F" w:rsidRPr="00DF31C5" w:rsidRDefault="00AD6C9F" w:rsidP="00033DAE">
            <w:pPr>
              <w:jc w:val="center"/>
              <w:rPr>
                <w:b/>
                <w:szCs w:val="28"/>
              </w:rPr>
            </w:pPr>
            <w:r w:rsidRPr="00DF31C5">
              <w:rPr>
                <w:b/>
                <w:szCs w:val="28"/>
              </w:rPr>
              <w:t>Độc lập – Tự do – Hạnh phúc</w:t>
            </w:r>
          </w:p>
          <w:p w:rsidR="00AD6C9F" w:rsidRPr="00DF31C5" w:rsidRDefault="00AD6C9F" w:rsidP="00033DAE">
            <w:pPr>
              <w:rPr>
                <w:i/>
              </w:rPr>
            </w:pPr>
            <w:r w:rsidRPr="00DF31C5">
              <w:rPr>
                <w:noProof/>
              </w:rPr>
              <mc:AlternateContent>
                <mc:Choice Requires="wps">
                  <w:drawing>
                    <wp:anchor distT="4294967295" distB="4294967295" distL="114300" distR="114300" simplePos="0" relativeHeight="251660288" behindDoc="0" locked="0" layoutInCell="1" allowOverlap="1" wp14:anchorId="6DB5FD00" wp14:editId="79B7C84E">
                      <wp:simplePos x="0" y="0"/>
                      <wp:positionH relativeFrom="column">
                        <wp:posOffset>714746</wp:posOffset>
                      </wp:positionH>
                      <wp:positionV relativeFrom="paragraph">
                        <wp:posOffset>45030</wp:posOffset>
                      </wp:positionV>
                      <wp:extent cx="20770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436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3.55pt" to="21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vg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"/>
                  </w:pict>
                </mc:Fallback>
              </mc:AlternateContent>
            </w:r>
          </w:p>
          <w:p w:rsidR="00AD6C9F" w:rsidRPr="00DF31C5" w:rsidRDefault="00AD6C9F" w:rsidP="00033DAE">
            <w:r w:rsidRPr="00DF31C5">
              <w:rPr>
                <w:i/>
              </w:rPr>
              <w:t>Đăk Nông, ngày        tháng     năm 2022</w:t>
            </w:r>
          </w:p>
        </w:tc>
      </w:tr>
    </w:tbl>
    <w:p w:rsidR="00AD6C9F" w:rsidRPr="00DF31C5" w:rsidRDefault="00AD6C9F" w:rsidP="00033DAE"/>
    <w:p w:rsidR="00AD6C9F" w:rsidRPr="00DF31C5" w:rsidRDefault="00AD6C9F" w:rsidP="00033DAE">
      <w:pPr>
        <w:jc w:val="center"/>
        <w:rPr>
          <w:b/>
          <w:szCs w:val="28"/>
        </w:rPr>
      </w:pPr>
      <w:r w:rsidRPr="00DF31C5">
        <w:rPr>
          <w:b/>
          <w:szCs w:val="28"/>
        </w:rPr>
        <w:t>BÁO CÁO</w:t>
      </w:r>
    </w:p>
    <w:p w:rsidR="00AD6C9F" w:rsidRPr="00DF31C5" w:rsidRDefault="00AD6C9F" w:rsidP="00033DAE">
      <w:pPr>
        <w:jc w:val="center"/>
        <w:rPr>
          <w:b/>
          <w:szCs w:val="28"/>
        </w:rPr>
      </w:pPr>
      <w:r w:rsidRPr="00DF31C5">
        <w:rPr>
          <w:b/>
          <w:szCs w:val="28"/>
        </w:rPr>
        <w:t>Kết quả thực hiện Cải cách hành chính năm 2022, kế hoạch năm 2023</w:t>
      </w:r>
    </w:p>
    <w:p w:rsidR="00AD6C9F" w:rsidRPr="00DF31C5" w:rsidRDefault="00AD6C9F" w:rsidP="00033DAE">
      <w:pPr>
        <w:jc w:val="center"/>
        <w:rPr>
          <w:b/>
          <w:szCs w:val="28"/>
        </w:rPr>
      </w:pPr>
      <w:r w:rsidRPr="00DF31C5">
        <w:rPr>
          <w:b/>
          <w:szCs w:val="28"/>
        </w:rPr>
        <w:t>của Sở Lao động – TB&amp;XH</w:t>
      </w:r>
    </w:p>
    <w:p w:rsidR="00AD6C9F" w:rsidRPr="00DF31C5" w:rsidRDefault="00AD6C9F" w:rsidP="00033DAE">
      <w:pPr>
        <w:rPr>
          <w:b/>
        </w:rPr>
      </w:pPr>
      <w:r w:rsidRPr="00DF31C5">
        <w:rPr>
          <w:noProof/>
        </w:rPr>
        <mc:AlternateContent>
          <mc:Choice Requires="wps">
            <w:drawing>
              <wp:anchor distT="4294967295" distB="4294967295" distL="114300" distR="114300" simplePos="0" relativeHeight="251661312" behindDoc="0" locked="0" layoutInCell="1" allowOverlap="1" wp14:anchorId="2457B66C" wp14:editId="53FE117E">
                <wp:simplePos x="0" y="0"/>
                <wp:positionH relativeFrom="column">
                  <wp:posOffset>2187906</wp:posOffset>
                </wp:positionH>
                <wp:positionV relativeFrom="paragraph">
                  <wp:posOffset>26670</wp:posOffset>
                </wp:positionV>
                <wp:extent cx="133540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278BA" id="_x0000_t32" coordsize="21600,21600" o:spt="32" o:oned="t" path="m,l21600,21600e" filled="f">
                <v:path arrowok="t" fillok="f" o:connecttype="none"/>
                <o:lock v:ext="edit" shapetype="t"/>
              </v:shapetype>
              <v:shape id="Straight Arrow Connector 1" o:spid="_x0000_s1026" type="#_x0000_t32" style="position:absolute;margin-left:172.3pt;margin-top:2.1pt;width:10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u4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"/>
            </w:pict>
          </mc:Fallback>
        </mc:AlternateContent>
      </w:r>
    </w:p>
    <w:p w:rsidR="00AD6C9F" w:rsidRPr="00DF31C5" w:rsidRDefault="00AD6C9F" w:rsidP="00DF31C5">
      <w:pPr>
        <w:ind w:firstLine="567"/>
        <w:jc w:val="both"/>
      </w:pPr>
      <w:r w:rsidRPr="00DF31C5">
        <w:t xml:space="preserve">Thực hiện Công văn số 1228/UBND-TH ngày 16/3/2022 về thực hiện công tác báo cáo cải cách hành chính định kỳ. Sở Lao động – Thương binh và Xã hội báo cáo công tác cải cách hành năm 2022, xây dựng kế hoạch năm 2023 với những nội dung cụ thể như sau: </w:t>
      </w:r>
    </w:p>
    <w:p w:rsidR="008E5E70" w:rsidRPr="00DF31C5" w:rsidRDefault="008E5E70" w:rsidP="00DF31C5">
      <w:pPr>
        <w:ind w:firstLine="567"/>
        <w:jc w:val="both"/>
        <w:rPr>
          <w:b/>
          <w:szCs w:val="28"/>
        </w:rPr>
      </w:pPr>
      <w:r w:rsidRPr="00DF31C5">
        <w:rPr>
          <w:b/>
          <w:szCs w:val="28"/>
        </w:rPr>
        <w:t>I. KẾT QUẢ THỰC HIỆN</w:t>
      </w:r>
    </w:p>
    <w:p w:rsidR="00AD6C9F" w:rsidRPr="00DF31C5" w:rsidRDefault="00AD6C9F" w:rsidP="00DF31C5">
      <w:pPr>
        <w:ind w:firstLine="567"/>
        <w:jc w:val="both"/>
        <w:rPr>
          <w:b/>
          <w:szCs w:val="28"/>
        </w:rPr>
      </w:pPr>
      <w:r w:rsidRPr="00DF31C5">
        <w:rPr>
          <w:b/>
          <w:szCs w:val="28"/>
        </w:rPr>
        <w:t xml:space="preserve">1. </w:t>
      </w:r>
      <w:r w:rsidR="00BB700F" w:rsidRPr="00DF31C5">
        <w:rPr>
          <w:b/>
          <w:szCs w:val="28"/>
        </w:rPr>
        <w:t xml:space="preserve">Công tác </w:t>
      </w:r>
      <w:r w:rsidRPr="00DF31C5">
        <w:rPr>
          <w:b/>
          <w:szCs w:val="28"/>
        </w:rPr>
        <w:t>Xây dựng kế hoạch và tổ chức, chỉ đạo, điều hành cải cách hành chính</w:t>
      </w:r>
    </w:p>
    <w:p w:rsidR="00AD6C9F" w:rsidRPr="00DF31C5" w:rsidRDefault="00AD6C9F" w:rsidP="00DF31C5">
      <w:pPr>
        <w:ind w:firstLine="567"/>
        <w:jc w:val="both"/>
        <w:rPr>
          <w:szCs w:val="28"/>
        </w:rPr>
      </w:pPr>
      <w:r w:rsidRPr="00DF31C5">
        <w:rPr>
          <w:szCs w:val="28"/>
        </w:rPr>
        <w:t xml:space="preserve">Căn cứ chức năng, nhiệm vụ được giao, Sở đã chủ động ban hành Kế hoạch số </w:t>
      </w:r>
      <w:r w:rsidRPr="00DF31C5">
        <w:t xml:space="preserve">62/KH-SLĐTBXH ngày 10/01/2022 </w:t>
      </w:r>
      <w:r w:rsidRPr="00DF31C5">
        <w:rPr>
          <w:szCs w:val="28"/>
        </w:rPr>
        <w:t>về Kế hoạch cải cách hành chính năm 2022 của Sở Lao động – TB&amp;XH. Nội dung xây dựng tập trung 07 lĩnh vực bám sát tất cả các lĩnh vực của tỉnh, với 36 nội dung, nhiệm vụ cụ thể.</w:t>
      </w:r>
    </w:p>
    <w:p w:rsidR="00AD6C9F" w:rsidRPr="00DF31C5" w:rsidRDefault="00AD6C9F" w:rsidP="00DF31C5">
      <w:pPr>
        <w:ind w:firstLine="567"/>
        <w:jc w:val="both"/>
        <w:rPr>
          <w:szCs w:val="28"/>
        </w:rPr>
      </w:pPr>
      <w:r w:rsidRPr="00DF31C5">
        <w:rPr>
          <w:szCs w:val="28"/>
        </w:rPr>
        <w:t>Tính đến thời điểm ngày 25/11/2022, Sở đã triển khai thực hiện vá hoàn thành 36/36 nhiệm vụ. Đạt 100% kế hoạch đề ra.</w:t>
      </w:r>
    </w:p>
    <w:p w:rsidR="00AD6C9F" w:rsidRPr="00DF31C5" w:rsidRDefault="00AD6C9F" w:rsidP="00DF31C5">
      <w:pPr>
        <w:ind w:firstLine="567"/>
        <w:jc w:val="both"/>
        <w:rPr>
          <w:szCs w:val="28"/>
        </w:rPr>
      </w:pPr>
      <w:r w:rsidRPr="00DF31C5">
        <w:rPr>
          <w:szCs w:val="28"/>
        </w:rPr>
        <w:t xml:space="preserve"> Thông qua cuộc họp giao ban định kỳ, lãnh đạo Sở thường xuyên nhắc nhở, đôn đốc các phòng chuyên môn, đơn vị trực thuộc tiếp tục bám sát các nội dung tại kế hoạch CCHC của Sở triển khai có hiệu quả nhằm đạt được các mục tiêu đề ra. </w:t>
      </w:r>
      <w:r w:rsidR="00B53000" w:rsidRPr="00DF31C5">
        <w:rPr>
          <w:szCs w:val="28"/>
        </w:rPr>
        <w:t xml:space="preserve"> </w:t>
      </w:r>
    </w:p>
    <w:p w:rsidR="00B53000" w:rsidRPr="00DF31C5" w:rsidRDefault="00B53000" w:rsidP="00DF31C5">
      <w:pPr>
        <w:ind w:firstLine="567"/>
        <w:jc w:val="both"/>
        <w:rPr>
          <w:i/>
          <w:lang w:val="nb-NO"/>
        </w:rPr>
      </w:pPr>
      <w:r w:rsidRPr="00DF31C5">
        <w:t xml:space="preserve">Lãnh đạo Sở thường xuyên lồng ghép phổ biến các văn bản mới về công tác CCHC, tuyên truyền về dịch vụ công trực tuyến mức độ 3, 4; Chính quyền điện tử tới tới toàn thể công chức, viên chức, chỉ đạo trực tiếp các phòng chuyên môn, đơn vị trực thuộc </w:t>
      </w:r>
      <w:r w:rsidRPr="00DF31C5">
        <w:rPr>
          <w:shd w:val="clear" w:color="auto" w:fill="FFFFFF"/>
        </w:rPr>
        <w:t>kiểm soát chặt chẽ công tác tiếp nhận, giải quyết, trả kết quả TTHC của người dân, tổ chức, lấy sự hài lòng của người dân, doanh nghiệp làm mục tiêu phấn đấu; T</w:t>
      </w:r>
      <w:r w:rsidRPr="00DF31C5">
        <w:t>hực hiện việc cập nhật, đăng t</w:t>
      </w:r>
      <w:r w:rsidRPr="00DF31C5">
        <w:rPr>
          <w:lang w:val="nb-NO"/>
        </w:rPr>
        <w:t xml:space="preserve">in bài về công tác cải cách hành chính tại Trang thông tin điện tử của Sở. </w:t>
      </w:r>
    </w:p>
    <w:p w:rsidR="00B53000" w:rsidRPr="00DF31C5" w:rsidRDefault="00B53000" w:rsidP="00DF31C5">
      <w:pPr>
        <w:ind w:firstLine="567"/>
        <w:jc w:val="both"/>
        <w:rPr>
          <w:lang w:val="nb-NO" w:eastAsia="zh-CN"/>
        </w:rPr>
      </w:pPr>
      <w:r w:rsidRPr="00DF31C5">
        <w:rPr>
          <w:lang w:val="nb-NO" w:eastAsia="zh-CN"/>
        </w:rPr>
        <w:t xml:space="preserve">Ban hành công văn số 1108/SLĐTBXH-VP ngày 24/5/2022 gửi các phòng chuyên môn, đơn vị trực thuộc thực hiện </w:t>
      </w:r>
      <w:r w:rsidRPr="00DF31C5">
        <w:t>tuyên truyền công tác cải cách hành chính năm 2022. Trong năm 2022, Sở đã đăng trên 08 tin, bài liên quan đến công tác cải cách hành chính trên Trang thông tin điện tử của đơn vị. Tập trung chủ yếu về công bố thủ tục hành chính mới ban hành, sửa đổi bổ sung, bãi bỏ; Kết quả tiếp nhận và giải quyết thủ tục hành chính hàng quý, đề xuất TTHC nâng lên mức độ 3,4, khuyến nghị tổ chức công dân nộp hồ sơ tại hệ thống dịch vụ công…</w:t>
      </w:r>
    </w:p>
    <w:p w:rsidR="00D76A2B" w:rsidRPr="00DF31C5" w:rsidRDefault="00D76A2B" w:rsidP="00DF31C5">
      <w:pPr>
        <w:ind w:firstLine="567"/>
        <w:jc w:val="both"/>
        <w:rPr>
          <w:b/>
          <w:szCs w:val="28"/>
        </w:rPr>
      </w:pPr>
      <w:r w:rsidRPr="00DF31C5">
        <w:rPr>
          <w:b/>
          <w:szCs w:val="28"/>
        </w:rPr>
        <w:t xml:space="preserve">2. </w:t>
      </w:r>
      <w:r w:rsidR="00BB700F" w:rsidRPr="00DF31C5">
        <w:rPr>
          <w:b/>
          <w:szCs w:val="28"/>
        </w:rPr>
        <w:t xml:space="preserve">Công tác </w:t>
      </w:r>
      <w:r w:rsidR="005C3C7E" w:rsidRPr="00DF31C5">
        <w:rPr>
          <w:b/>
          <w:szCs w:val="28"/>
        </w:rPr>
        <w:t>Cải cách thể chế</w:t>
      </w:r>
    </w:p>
    <w:p w:rsidR="00B53000" w:rsidRPr="00DF31C5" w:rsidRDefault="00B53000" w:rsidP="00DF31C5">
      <w:pPr>
        <w:ind w:firstLine="567"/>
        <w:jc w:val="both"/>
        <w:rPr>
          <w:b/>
          <w:szCs w:val="28"/>
        </w:rPr>
      </w:pPr>
      <w:r w:rsidRPr="00DF31C5">
        <w:rPr>
          <w:szCs w:val="28"/>
        </w:rPr>
        <w:t xml:space="preserve">Ban hành Kế hoạch số 139/KH-SLĐTBXH ngày 18/01/2022 về kiểm tra, rà soát và cập nhật văn bản quy phạm pháp luật năm 2022; Báo cáo cập nhật văn </w:t>
      </w:r>
      <w:r w:rsidRPr="00DF31C5">
        <w:rPr>
          <w:szCs w:val="28"/>
        </w:rPr>
        <w:lastRenderedPageBreak/>
        <w:t>bản của Trung ương đúng nội dung và thời gian quy định. Riêng trong tháng 3/2022, không có văn bản QPPL thuộc lĩnh vực Sở quản lý cần triển khai tại tỉnh nên không có báo cáo.</w:t>
      </w:r>
      <w:r w:rsidRPr="00DF31C5">
        <w:rPr>
          <w:b/>
          <w:szCs w:val="28"/>
        </w:rPr>
        <w:t xml:space="preserve"> </w:t>
      </w:r>
      <w:r w:rsidRPr="00DF31C5">
        <w:rPr>
          <w:szCs w:val="28"/>
        </w:rPr>
        <w:t>Trong năm 2022, Sở đã chủ động tham mưu, triển khai thực hiện: 04 Nghị định; 05 Thông tư; 02 Quyết định của Trung ương.</w:t>
      </w:r>
      <w:r w:rsidRPr="00DF31C5">
        <w:rPr>
          <w:b/>
          <w:szCs w:val="28"/>
        </w:rPr>
        <w:t xml:space="preserve"> </w:t>
      </w:r>
    </w:p>
    <w:p w:rsidR="00B53000" w:rsidRPr="00DF31C5" w:rsidRDefault="00B53000" w:rsidP="00DF31C5">
      <w:pPr>
        <w:ind w:firstLine="567"/>
        <w:jc w:val="both"/>
        <w:rPr>
          <w:iCs/>
          <w:noProof/>
          <w:szCs w:val="28"/>
          <w:lang w:val="es-PR"/>
        </w:rPr>
      </w:pPr>
      <w:r w:rsidRPr="00DF31C5">
        <w:rPr>
          <w:iCs/>
          <w:noProof/>
          <w:szCs w:val="28"/>
          <w:lang w:val="es-PR"/>
        </w:rPr>
        <w:t>Tham mưu UBND tỉnh ban hành báo cáo số 679/BC-UBND ngày 18/11/2022 về kết quả rà soát, lập danh mục và tự kiểm tra văn bản QPPL liên quan đến lĩnh vực Lao động – TB&amp;XH.</w:t>
      </w:r>
    </w:p>
    <w:p w:rsidR="00F136BE" w:rsidRPr="00DF31C5" w:rsidRDefault="00F136BE" w:rsidP="00DF31C5">
      <w:pPr>
        <w:ind w:firstLine="567"/>
        <w:jc w:val="both"/>
        <w:rPr>
          <w:szCs w:val="28"/>
        </w:rPr>
      </w:pPr>
      <w:r w:rsidRPr="00DF31C5">
        <w:rPr>
          <w:szCs w:val="28"/>
        </w:rPr>
        <w:t>Tham mưu ban hành các văn bản QPPL: Quyết định số</w:t>
      </w:r>
      <w:r w:rsidRPr="00DF31C5">
        <w:rPr>
          <w:b/>
          <w:szCs w:val="28"/>
        </w:rPr>
        <w:t xml:space="preserve"> </w:t>
      </w:r>
      <w:r w:rsidRPr="00DF31C5">
        <w:rPr>
          <w:szCs w:val="28"/>
        </w:rPr>
        <w:t>19/2022/QĐ-UBND ngày 13/6/2022</w:t>
      </w:r>
      <w:r w:rsidRPr="00DF31C5">
        <w:rPr>
          <w:szCs w:val="28"/>
          <w:shd w:val="clear" w:color="auto" w:fill="FFFFFF"/>
        </w:rPr>
        <w:t xml:space="preserve"> Ban hành quy định, chức năng, nhiệm vụ, quyền hạn và cơ cấu tổ chức của Sở Lao động – TB&amp;XH tỉnh Đắk Nông; Quyết định số </w:t>
      </w:r>
      <w:r w:rsidRPr="00DF31C5">
        <w:rPr>
          <w:szCs w:val="28"/>
          <w:lang w:val="vi-VN"/>
        </w:rPr>
        <w:t>35/2022/QĐ-UBND</w:t>
      </w:r>
      <w:r w:rsidRPr="00DF31C5">
        <w:rPr>
          <w:szCs w:val="28"/>
          <w:lang w:val="en-GB"/>
        </w:rPr>
        <w:t xml:space="preserve"> ngày 11/10/2022 </w:t>
      </w:r>
      <w:r w:rsidRPr="00DF31C5">
        <w:rPr>
          <w:szCs w:val="28"/>
          <w:lang w:val="vi-VN"/>
        </w:rPr>
        <w:t>Ban hành định mức kinh tế -</w:t>
      </w:r>
      <w:r w:rsidRPr="00DF31C5">
        <w:rPr>
          <w:szCs w:val="28"/>
          <w:lang w:val="en-GB"/>
        </w:rPr>
        <w:t xml:space="preserve"> </w:t>
      </w:r>
      <w:r w:rsidRPr="00DF31C5">
        <w:rPr>
          <w:szCs w:val="28"/>
          <w:lang w:val="vi-VN"/>
        </w:rPr>
        <w:t>kỹ thuật về đào tạo trình độ sơ cấp, đào tạo dưới 03 tháng áp dụng trong lĩnh vực giáo dục nghề nghiệp trên địa bàn tỉnh Đắk Nông</w:t>
      </w:r>
      <w:r w:rsidRPr="00DF31C5">
        <w:rPr>
          <w:szCs w:val="28"/>
          <w:lang w:val="en-GB"/>
        </w:rPr>
        <w:t xml:space="preserve">; Quyết định số </w:t>
      </w:r>
      <w:r w:rsidRPr="00DF31C5">
        <w:rPr>
          <w:szCs w:val="28"/>
        </w:rPr>
        <w:t>36/2022/QĐ-UBND ngày 18/10/2022 Về việc bãi bỏ các văn bản QPPL của UBND tỉnh thuộc lĩnh vực Lao động – TB&amp;XH.</w:t>
      </w:r>
    </w:p>
    <w:p w:rsidR="00F136BE" w:rsidRPr="00DF31C5" w:rsidRDefault="00F136BE" w:rsidP="00DF31C5">
      <w:pPr>
        <w:ind w:firstLine="567"/>
        <w:jc w:val="both"/>
        <w:rPr>
          <w:szCs w:val="28"/>
        </w:rPr>
      </w:pPr>
      <w:r w:rsidRPr="00DF31C5">
        <w:rPr>
          <w:szCs w:val="28"/>
        </w:rPr>
        <w:t xml:space="preserve">Nghị quyết số 05/2022/NQ-HĐND ngày 17/6/2022 Về nguyên tắc, tiêu chí, định  mức phân bổ vốn ngân sách nhà nước thực hiện Chương trình mục tiêu Quốc gia giảm nghèo bền vững trên địa  bàn tỉnh Đắk Nông, giai đoạn 2021-2025. </w:t>
      </w:r>
    </w:p>
    <w:p w:rsidR="00F136BE" w:rsidRPr="00DF31C5" w:rsidRDefault="00F136BE" w:rsidP="00DF31C5">
      <w:pPr>
        <w:ind w:firstLine="567"/>
        <w:jc w:val="both"/>
        <w:rPr>
          <w:szCs w:val="28"/>
        </w:rPr>
      </w:pPr>
      <w:r w:rsidRPr="00DF31C5">
        <w:rPr>
          <w:szCs w:val="28"/>
        </w:rPr>
        <w:t xml:space="preserve">Tất cả các văn bản nêu trên đều có nội dung phù hợp (bảo đảm tính hợp hiến, hợp pháp và thống nhất), không có nội dung trái quy định tại Điều 107 Nghị định số 34/2016/NĐ-CP ngày 14 tháng 5 năm 2016 của Chính phủ quy định chi tiết một số điều và biện pháp thi hành Luật Ban hành văn bản quy phạm pháp luật. </w:t>
      </w:r>
    </w:p>
    <w:p w:rsidR="00BB700F" w:rsidRPr="00DF31C5" w:rsidRDefault="00BB700F" w:rsidP="00DF31C5">
      <w:pPr>
        <w:ind w:firstLine="567"/>
        <w:jc w:val="both"/>
        <w:rPr>
          <w:b/>
          <w:szCs w:val="28"/>
        </w:rPr>
      </w:pPr>
      <w:r w:rsidRPr="00DF31C5">
        <w:rPr>
          <w:b/>
          <w:szCs w:val="28"/>
        </w:rPr>
        <w:t>3. Công tác cải cách thủ tục hành chính</w:t>
      </w:r>
    </w:p>
    <w:p w:rsidR="00BB700F" w:rsidRPr="00DF31C5" w:rsidRDefault="00BB700F" w:rsidP="00DF31C5">
      <w:pPr>
        <w:ind w:firstLine="567"/>
        <w:jc w:val="both"/>
      </w:pPr>
      <w:r w:rsidRPr="00DF31C5">
        <w:rPr>
          <w:szCs w:val="28"/>
        </w:rPr>
        <w:t xml:space="preserve">Ban hành Kế hoạch số 3036 /KH-SLĐTBXH ngày 29/12/2021 về </w:t>
      </w:r>
      <w:r w:rsidRPr="00DF31C5">
        <w:t xml:space="preserve">hoạt động kiểm soát thủ tục hành chính của Sở Lao động – TB&amp;XH tỉnh Đắk Nông năm 2022; Kế hoạch số 300/KH-SLĐTBXH ngày 15/02/2022 về rà soát đánh giá TTHC thuộc thẩm quyền quản lý của Sở Lao động – TB&amp;XH năm 2022. </w:t>
      </w:r>
    </w:p>
    <w:p w:rsidR="00BB700F" w:rsidRPr="00DF31C5" w:rsidRDefault="00BB700F" w:rsidP="00DF31C5">
      <w:pPr>
        <w:ind w:firstLine="567"/>
        <w:jc w:val="both"/>
        <w:rPr>
          <w:szCs w:val="28"/>
        </w:rPr>
      </w:pPr>
      <w:r w:rsidRPr="00DF31C5">
        <w:rPr>
          <w:szCs w:val="28"/>
        </w:rPr>
        <w:t xml:space="preserve">Trình UBND tỉnh 07 Quyết định công bố danh mục TTHC. Cụ thể: </w:t>
      </w:r>
    </w:p>
    <w:p w:rsidR="00BB700F" w:rsidRPr="00DF31C5" w:rsidRDefault="00BB700F" w:rsidP="00DF31C5">
      <w:pPr>
        <w:ind w:firstLine="567"/>
        <w:jc w:val="both"/>
        <w:rPr>
          <w:szCs w:val="28"/>
        </w:rPr>
      </w:pPr>
      <w:r w:rsidRPr="00DF31C5">
        <w:rPr>
          <w:szCs w:val="28"/>
        </w:rPr>
        <w:t xml:space="preserve">+ Quyết định số 98/QĐ-UBND ngày 13/01/2022; </w:t>
      </w:r>
    </w:p>
    <w:p w:rsidR="00BB700F" w:rsidRPr="00DF31C5" w:rsidRDefault="00BB700F" w:rsidP="00DF31C5">
      <w:pPr>
        <w:ind w:firstLine="567"/>
        <w:jc w:val="both"/>
        <w:rPr>
          <w:szCs w:val="28"/>
        </w:rPr>
      </w:pPr>
      <w:r w:rsidRPr="00DF31C5">
        <w:rPr>
          <w:szCs w:val="28"/>
        </w:rPr>
        <w:t xml:space="preserve">+ Quyết định số 246/QĐ-UBND ngày 27/01/2022; </w:t>
      </w:r>
    </w:p>
    <w:p w:rsidR="00BB700F" w:rsidRPr="00DF31C5" w:rsidRDefault="00BB700F" w:rsidP="00DF31C5">
      <w:pPr>
        <w:ind w:firstLine="567"/>
        <w:jc w:val="both"/>
        <w:rPr>
          <w:szCs w:val="28"/>
        </w:rPr>
      </w:pPr>
      <w:r w:rsidRPr="00DF31C5">
        <w:rPr>
          <w:szCs w:val="28"/>
        </w:rPr>
        <w:t xml:space="preserve">+ Quyết định số 432/QĐ-UBND ngày 25/02/2022; </w:t>
      </w:r>
    </w:p>
    <w:p w:rsidR="00BB700F" w:rsidRPr="00DF31C5" w:rsidRDefault="00BB700F" w:rsidP="00DF31C5">
      <w:pPr>
        <w:ind w:firstLine="567"/>
        <w:jc w:val="both"/>
        <w:rPr>
          <w:szCs w:val="28"/>
        </w:rPr>
      </w:pPr>
      <w:r w:rsidRPr="00DF31C5">
        <w:rPr>
          <w:szCs w:val="28"/>
        </w:rPr>
        <w:t xml:space="preserve">+ Quyết định số 867/QĐ-UBND ngày 18/5/2022; </w:t>
      </w:r>
    </w:p>
    <w:p w:rsidR="00BB700F" w:rsidRPr="00DF31C5" w:rsidRDefault="00BB700F" w:rsidP="00DF31C5">
      <w:pPr>
        <w:ind w:firstLine="567"/>
        <w:jc w:val="both"/>
        <w:rPr>
          <w:szCs w:val="28"/>
        </w:rPr>
      </w:pPr>
      <w:r w:rsidRPr="00DF31C5">
        <w:rPr>
          <w:szCs w:val="28"/>
        </w:rPr>
        <w:t xml:space="preserve">+ Quyết định số 977/QĐ-UBND ngày 9/6/2022; </w:t>
      </w:r>
    </w:p>
    <w:p w:rsidR="00BB700F" w:rsidRPr="00DF31C5" w:rsidRDefault="00BB700F" w:rsidP="00DF31C5">
      <w:pPr>
        <w:ind w:firstLine="567"/>
        <w:jc w:val="both"/>
        <w:rPr>
          <w:szCs w:val="28"/>
        </w:rPr>
      </w:pPr>
      <w:r w:rsidRPr="00DF31C5">
        <w:rPr>
          <w:szCs w:val="28"/>
        </w:rPr>
        <w:t xml:space="preserve">+ Quyết định số 1229/QĐ-UBND ngày 26/7/2022; </w:t>
      </w:r>
    </w:p>
    <w:p w:rsidR="00BB700F" w:rsidRPr="00DF31C5" w:rsidRDefault="00BB700F" w:rsidP="00DF31C5">
      <w:pPr>
        <w:ind w:firstLine="567"/>
        <w:jc w:val="both"/>
        <w:rPr>
          <w:szCs w:val="28"/>
        </w:rPr>
      </w:pPr>
      <w:r w:rsidRPr="00DF31C5">
        <w:rPr>
          <w:szCs w:val="28"/>
        </w:rPr>
        <w:t xml:space="preserve">+ Quyết định số 1412/QĐ-UBND ngày 16/8/2022. </w:t>
      </w:r>
    </w:p>
    <w:p w:rsidR="00BB700F" w:rsidRPr="00DF31C5" w:rsidRDefault="00BB700F" w:rsidP="00DF31C5">
      <w:pPr>
        <w:ind w:firstLine="567"/>
        <w:jc w:val="both"/>
      </w:pPr>
      <w:r w:rsidRPr="00DF31C5">
        <w:rPr>
          <w:shd w:val="clear" w:color="auto" w:fill="FFFFFF"/>
          <w:lang w:val="en-GB"/>
        </w:rPr>
        <w:t xml:space="preserve">Tại 07 Quyết định nêu trên có: 54 </w:t>
      </w:r>
      <w:r w:rsidRPr="00DF31C5">
        <w:t xml:space="preserve">TTHC </w:t>
      </w:r>
      <w:r w:rsidRPr="00DF31C5">
        <w:rPr>
          <w:lang w:val="en-GB"/>
        </w:rPr>
        <w:t xml:space="preserve">mới ban hành </w:t>
      </w:r>
      <w:r w:rsidRPr="00DF31C5">
        <w:rPr>
          <w:i/>
          <w:lang w:val="en-GB"/>
        </w:rPr>
        <w:t>(trong đó 02 TTHC thuộc thẩm quyền giải quyết của cơ quan BHXH)</w:t>
      </w:r>
      <w:r w:rsidRPr="00DF31C5">
        <w:rPr>
          <w:i/>
        </w:rPr>
        <w:t>;</w:t>
      </w:r>
      <w:r w:rsidRPr="00DF31C5">
        <w:t xml:space="preserve"> </w:t>
      </w:r>
      <w:r w:rsidRPr="00DF31C5">
        <w:rPr>
          <w:lang w:val="en-GB"/>
        </w:rPr>
        <w:t xml:space="preserve">18 </w:t>
      </w:r>
      <w:r w:rsidRPr="00DF31C5">
        <w:t>TTHC sửa đổi, bổ sung;</w:t>
      </w:r>
      <w:r w:rsidRPr="00DF31C5">
        <w:rPr>
          <w:lang w:val="en-GB"/>
        </w:rPr>
        <w:t xml:space="preserve"> 42</w:t>
      </w:r>
      <w:r w:rsidRPr="00DF31C5">
        <w:t xml:space="preserve"> TTHC bãi bỏ. Tính đến thời điểm hiện tại, Sở Lao động – TB&amp;XH có 131 TTHC thuộc thẩm quyền giải quyết. Trong đó có:</w:t>
      </w:r>
    </w:p>
    <w:p w:rsidR="00BB700F" w:rsidRPr="00DF31C5" w:rsidRDefault="00BB700F" w:rsidP="00DF31C5">
      <w:pPr>
        <w:ind w:firstLine="567"/>
        <w:jc w:val="both"/>
      </w:pPr>
      <w:r w:rsidRPr="00DF31C5">
        <w:t xml:space="preserve">+ 13 TTHC mức độ 4; </w:t>
      </w:r>
    </w:p>
    <w:p w:rsidR="00BB700F" w:rsidRPr="00DF31C5" w:rsidRDefault="00784223" w:rsidP="00DF31C5">
      <w:pPr>
        <w:ind w:firstLine="567"/>
        <w:jc w:val="both"/>
      </w:pPr>
      <w:r>
        <w:t>+ 07 TTHC</w:t>
      </w:r>
      <w:r w:rsidR="00BB700F" w:rsidRPr="00DF31C5">
        <w:t xml:space="preserve"> mức độ 3; </w:t>
      </w:r>
    </w:p>
    <w:p w:rsidR="00BB700F" w:rsidRPr="00DF31C5" w:rsidRDefault="00BB700F" w:rsidP="00DF31C5">
      <w:pPr>
        <w:ind w:firstLine="567"/>
        <w:jc w:val="both"/>
      </w:pPr>
      <w:r w:rsidRPr="00DF31C5">
        <w:t>+ 111 TTHC mức độ 2.</w:t>
      </w:r>
    </w:p>
    <w:p w:rsidR="00DF31C5" w:rsidRPr="00DF31C5" w:rsidRDefault="00BB700F" w:rsidP="00DF31C5">
      <w:pPr>
        <w:ind w:firstLine="567"/>
        <w:jc w:val="both"/>
        <w:rPr>
          <w:szCs w:val="28"/>
        </w:rPr>
      </w:pPr>
      <w:r w:rsidRPr="00DF31C5">
        <w:rPr>
          <w:szCs w:val="28"/>
        </w:rPr>
        <w:lastRenderedPageBreak/>
        <w:t xml:space="preserve">Duy trì việc cập nhật, niêm yết đầy đủ thủ tục hành chính tại Bảng thông báo đặt tại trụ sở đồng thời đăng tải trên trang Thông tin điện tử của Sở nhằm thuận tiện cho việc tra cứu của tổ chức, công dân. </w:t>
      </w:r>
    </w:p>
    <w:p w:rsidR="00BB700F" w:rsidRPr="00CB5D9F" w:rsidRDefault="00BB700F" w:rsidP="00DF31C5">
      <w:pPr>
        <w:ind w:firstLine="567"/>
        <w:jc w:val="both"/>
        <w:rPr>
          <w:b/>
          <w:szCs w:val="28"/>
        </w:rPr>
      </w:pPr>
      <w:r w:rsidRPr="00CB5D9F">
        <w:rPr>
          <w:szCs w:val="28"/>
        </w:rPr>
        <w:t xml:space="preserve">Năm 2022, Sở đã thẩm định, tiếp nhận </w:t>
      </w:r>
      <w:r w:rsidR="00CB5D9F" w:rsidRPr="00CB5D9F">
        <w:rPr>
          <w:szCs w:val="28"/>
        </w:rPr>
        <w:t>3.528</w:t>
      </w:r>
      <w:r w:rsidRPr="00CB5D9F">
        <w:rPr>
          <w:szCs w:val="28"/>
        </w:rPr>
        <w:t xml:space="preserve"> hồ sơ giải quyết TTHC thuộc các lĩnh vực Bảo trợ xã hội, Việc làm, Người có công, Bảo hiểm thất nghiệp Trong đó: </w:t>
      </w:r>
      <w:r w:rsidR="00CB5D9F" w:rsidRPr="00CB5D9F">
        <w:rPr>
          <w:szCs w:val="28"/>
        </w:rPr>
        <w:t>3.406</w:t>
      </w:r>
      <w:r w:rsidRPr="00CB5D9F">
        <w:rPr>
          <w:szCs w:val="28"/>
        </w:rPr>
        <w:t xml:space="preserve"> hồ sơ đã giải quyết trước và đúng hạn; </w:t>
      </w:r>
      <w:r w:rsidR="00CB5D9F" w:rsidRPr="00CB5D9F">
        <w:rPr>
          <w:szCs w:val="28"/>
        </w:rPr>
        <w:t>122</w:t>
      </w:r>
      <w:r w:rsidRPr="00CB5D9F">
        <w:rPr>
          <w:szCs w:val="28"/>
        </w:rPr>
        <w:t xml:space="preserve"> hồ sơ đang trong hạn giải quyết; </w:t>
      </w:r>
      <w:r w:rsidR="00133565" w:rsidRPr="00CB5D9F">
        <w:rPr>
          <w:szCs w:val="28"/>
        </w:rPr>
        <w:t>không có</w:t>
      </w:r>
      <w:r w:rsidR="00DF31C5" w:rsidRPr="00CB5D9F">
        <w:rPr>
          <w:szCs w:val="28"/>
        </w:rPr>
        <w:t xml:space="preserve"> hồ sơ quá hạn do đó không có văn bản xin lỗi tổ chức, công dân.</w:t>
      </w:r>
    </w:p>
    <w:p w:rsidR="00B53000" w:rsidRPr="00DF31C5" w:rsidRDefault="00B53000" w:rsidP="00DF31C5">
      <w:pPr>
        <w:ind w:firstLine="567"/>
        <w:jc w:val="both"/>
        <w:rPr>
          <w:rFonts w:eastAsia="Arial Unicode MS"/>
          <w:szCs w:val="28"/>
          <w:lang w:eastAsia="vi-VN"/>
        </w:rPr>
      </w:pPr>
      <w:r w:rsidRPr="00DF31C5">
        <w:rPr>
          <w:szCs w:val="28"/>
        </w:rPr>
        <w:t xml:space="preserve">Sở luôn thực hiện việc tiếp công dân theo đúng kế hoạch, có chất lượng, hiệu quả, đăng tải công khai kết quả tiếp nhận phản ánh, kiến nghị của công dân lên Trang thông tin điện tử của Sở. Thực hiện công tác báo cáo tình hình tiếp công dân theo đúng quy định. Không có các vụ việc khiếu nại, khiếu kiện kéo dài. </w:t>
      </w:r>
      <w:r w:rsidR="00AD6F30" w:rsidRPr="00DF31C5">
        <w:rPr>
          <w:szCs w:val="28"/>
        </w:rPr>
        <w:t>N</w:t>
      </w:r>
      <w:r w:rsidRPr="00DF31C5">
        <w:rPr>
          <w:szCs w:val="28"/>
        </w:rPr>
        <w:t>ăm 2022</w:t>
      </w:r>
      <w:r w:rsidR="00AD6F30" w:rsidRPr="00DF31C5">
        <w:rPr>
          <w:szCs w:val="28"/>
        </w:rPr>
        <w:t>, Sở</w:t>
      </w:r>
      <w:r w:rsidRPr="00DF31C5">
        <w:rPr>
          <w:szCs w:val="28"/>
        </w:rPr>
        <w:t xml:space="preserve"> đã tiếp </w:t>
      </w:r>
      <w:r w:rsidR="00DF31C5" w:rsidRPr="00DF31C5">
        <w:rPr>
          <w:szCs w:val="28"/>
        </w:rPr>
        <w:t>264</w:t>
      </w:r>
      <w:r w:rsidRPr="00DF31C5">
        <w:rPr>
          <w:szCs w:val="28"/>
        </w:rPr>
        <w:t xml:space="preserve"> lượt công dân đến hỏi các vấn đề liên quan chế độ chính sách người có công, chính sách hỗ trợ các đối tượng bị ảnh hưởng bởi Covid-19…; Tiếp nhận </w:t>
      </w:r>
      <w:r w:rsidR="00DF31C5" w:rsidRPr="00DF31C5">
        <w:rPr>
          <w:szCs w:val="28"/>
        </w:rPr>
        <w:t>10</w:t>
      </w:r>
      <w:r w:rsidRPr="00DF31C5">
        <w:rPr>
          <w:szCs w:val="28"/>
        </w:rPr>
        <w:t xml:space="preserve"> đơn thư. Trong đó 0</w:t>
      </w:r>
      <w:r w:rsidR="00DF31C5" w:rsidRPr="00DF31C5">
        <w:rPr>
          <w:szCs w:val="28"/>
        </w:rPr>
        <w:t>5</w:t>
      </w:r>
      <w:r w:rsidRPr="00DF31C5">
        <w:rPr>
          <w:szCs w:val="28"/>
        </w:rPr>
        <w:t xml:space="preserve"> </w:t>
      </w:r>
      <w:r w:rsidR="00DF31C5" w:rsidRPr="00DF31C5">
        <w:rPr>
          <w:szCs w:val="28"/>
        </w:rPr>
        <w:t>đơn thuộc thẩm quyền đã trả lời bằng văn bản theo quy định</w:t>
      </w:r>
      <w:r w:rsidRPr="00DF31C5">
        <w:rPr>
          <w:szCs w:val="28"/>
        </w:rPr>
        <w:t xml:space="preserve">; </w:t>
      </w:r>
      <w:r w:rsidR="00DF31C5" w:rsidRPr="00DF31C5">
        <w:rPr>
          <w:rFonts w:eastAsia="Arial Unicode MS"/>
          <w:szCs w:val="28"/>
          <w:lang w:eastAsia="vi-VN"/>
        </w:rPr>
        <w:t>03 đơn khiếu nại không thuộc thẩm quyền đã hướng dẫn công dân thực hiện khiếu nại đến đúng cơ quan có thẩm quyền giải quyết theo quy định; 02 đơn không đủ điều kiện giải quyết đã lưu.</w:t>
      </w:r>
    </w:p>
    <w:p w:rsidR="00DF31C5" w:rsidRPr="00DF31C5" w:rsidRDefault="00DF31C5" w:rsidP="00DF31C5">
      <w:pPr>
        <w:ind w:firstLine="567"/>
        <w:jc w:val="both"/>
        <w:rPr>
          <w:b/>
          <w:szCs w:val="28"/>
        </w:rPr>
      </w:pPr>
      <w:r w:rsidRPr="00DF31C5">
        <w:rPr>
          <w:szCs w:val="28"/>
        </w:rPr>
        <w:t>Trong năm 2022, không có trường hợp cá nhân, tổ chức phản ánh, kiến nghị đối với TTHC thuộc thẩm quyền giải quyết của Sở.</w:t>
      </w:r>
      <w:r w:rsidRPr="00DF31C5">
        <w:rPr>
          <w:b/>
          <w:szCs w:val="28"/>
        </w:rPr>
        <w:t xml:space="preserve">  </w:t>
      </w:r>
    </w:p>
    <w:p w:rsidR="00BB700F" w:rsidRPr="00DF31C5" w:rsidRDefault="00BB700F" w:rsidP="00DF31C5">
      <w:pPr>
        <w:ind w:firstLine="567"/>
        <w:jc w:val="both"/>
        <w:rPr>
          <w:b/>
          <w:szCs w:val="28"/>
        </w:rPr>
      </w:pPr>
      <w:r w:rsidRPr="00DF31C5">
        <w:rPr>
          <w:b/>
          <w:szCs w:val="28"/>
        </w:rPr>
        <w:t>4. Công tác Cải cách tổ chức bộ máy</w:t>
      </w:r>
    </w:p>
    <w:p w:rsidR="00BB700F" w:rsidRPr="00DF31C5" w:rsidRDefault="00BB700F" w:rsidP="00DF31C5">
      <w:pPr>
        <w:ind w:firstLine="567"/>
        <w:jc w:val="both"/>
        <w:rPr>
          <w:szCs w:val="28"/>
        </w:rPr>
      </w:pPr>
      <w:r w:rsidRPr="00DF31C5">
        <w:rPr>
          <w:szCs w:val="28"/>
        </w:rPr>
        <w:t>Tham mưu UBND tỉnh ban hành Quyết định số 1691/QĐ-UBND ngày 14/10/2022 về việc ban hành quy định chức năng, nhiệm vụ, quyền hạn, cơ cấu tổ chức của Trung tâm Dịch vụ việc làm thuộc Sở Lao động – TB&amp;XH; Quyết định số 1690/QĐ-UBND ngày 14/10/2022 về việc ban hành hành quy định chức năng, nhiệm vụ, quyền hạn, cơ cấu tổ chức của Trung tâm Bảo trợ xã hội tỉnh thuộc Sở Lao động – TB&amp;XH.</w:t>
      </w:r>
      <w:r w:rsidR="004321F0" w:rsidRPr="00DF31C5">
        <w:rPr>
          <w:szCs w:val="28"/>
        </w:rPr>
        <w:t xml:space="preserve"> </w:t>
      </w:r>
    </w:p>
    <w:p w:rsidR="004321F0" w:rsidRPr="00DF31C5" w:rsidRDefault="004321F0" w:rsidP="00DF31C5">
      <w:pPr>
        <w:ind w:firstLine="567"/>
        <w:jc w:val="both"/>
        <w:rPr>
          <w:rStyle w:val="Emphasis"/>
          <w:rFonts w:eastAsia="Arial Unicode MS"/>
          <w:i w:val="0"/>
          <w:szCs w:val="28"/>
          <w:bdr w:val="none" w:sz="0" w:space="0" w:color="auto" w:frame="1"/>
          <w:shd w:val="clear" w:color="auto" w:fill="FFFFFF"/>
        </w:rPr>
      </w:pPr>
      <w:r w:rsidRPr="00DF31C5">
        <w:rPr>
          <w:szCs w:val="28"/>
        </w:rPr>
        <w:t xml:space="preserve">Thực hiện kịp thời, đúng quy định </w:t>
      </w:r>
      <w:r w:rsidRPr="00DF31C5">
        <w:rPr>
          <w:rStyle w:val="Emphasis"/>
          <w:rFonts w:eastAsia="Arial Unicode MS"/>
          <w:i w:val="0"/>
          <w:szCs w:val="28"/>
          <w:bdr w:val="none" w:sz="0" w:space="0" w:color="auto" w:frame="1"/>
          <w:shd w:val="clear" w:color="auto" w:fill="FFFFFF"/>
        </w:rPr>
        <w:t>các quy định, hướng dẫn của Trung ương và của tỉnh.</w:t>
      </w:r>
    </w:p>
    <w:p w:rsidR="004321F0" w:rsidRPr="00DF31C5" w:rsidRDefault="004321F0" w:rsidP="00DF31C5">
      <w:pPr>
        <w:ind w:firstLine="567"/>
        <w:jc w:val="both"/>
        <w:rPr>
          <w:rStyle w:val="Emphasis"/>
          <w:rFonts w:eastAsia="Arial Unicode MS"/>
          <w:i w:val="0"/>
          <w:szCs w:val="28"/>
          <w:bdr w:val="none" w:sz="0" w:space="0" w:color="auto" w:frame="1"/>
          <w:shd w:val="clear" w:color="auto" w:fill="FFFFFF"/>
        </w:rPr>
      </w:pPr>
      <w:r w:rsidRPr="00DF31C5">
        <w:rPr>
          <w:rStyle w:val="Emphasis"/>
          <w:rFonts w:eastAsia="Arial Unicode MS"/>
          <w:i w:val="0"/>
          <w:szCs w:val="28"/>
          <w:bdr w:val="none" w:sz="0" w:space="0" w:color="auto" w:frame="1"/>
          <w:shd w:val="clear" w:color="auto" w:fill="FFFFFF"/>
        </w:rPr>
        <w:t>Thực hiện đúng quy định về cơ cấu, số lượng lãnh đạo cấp phòng và tương đương; Không sử dụng vượt quá số lượng biên chế được giao.</w:t>
      </w:r>
    </w:p>
    <w:p w:rsidR="00B53000" w:rsidRPr="00DF31C5" w:rsidRDefault="00B53000" w:rsidP="00DF31C5">
      <w:pPr>
        <w:ind w:firstLine="567"/>
        <w:jc w:val="both"/>
        <w:rPr>
          <w:rStyle w:val="Emphasis"/>
          <w:rFonts w:eastAsia="Arial Unicode MS"/>
          <w:i w:val="0"/>
          <w:szCs w:val="28"/>
          <w:bdr w:val="none" w:sz="0" w:space="0" w:color="auto" w:frame="1"/>
          <w:shd w:val="clear" w:color="auto" w:fill="FFFFFF"/>
        </w:rPr>
      </w:pPr>
      <w:r w:rsidRPr="00DF31C5">
        <w:rPr>
          <w:rStyle w:val="Emphasis"/>
          <w:rFonts w:eastAsia="Arial Unicode MS"/>
          <w:i w:val="0"/>
          <w:szCs w:val="28"/>
          <w:bdr w:val="none" w:sz="0" w:space="0" w:color="auto" w:frame="1"/>
          <w:shd w:val="clear" w:color="auto" w:fill="FFFFFF"/>
        </w:rPr>
        <w:t xml:space="preserve">100% các phòng chuyên môn, đơn vị trực thuộc có thông báo phân công nhiệm vụ. </w:t>
      </w:r>
    </w:p>
    <w:p w:rsidR="00B53000" w:rsidRPr="00DF31C5" w:rsidRDefault="00B53000" w:rsidP="00DF31C5">
      <w:pPr>
        <w:ind w:firstLine="567"/>
        <w:jc w:val="both"/>
        <w:rPr>
          <w:b/>
          <w:szCs w:val="28"/>
        </w:rPr>
      </w:pPr>
      <w:r w:rsidRPr="00DF31C5">
        <w:rPr>
          <w:b/>
          <w:szCs w:val="28"/>
        </w:rPr>
        <w:t xml:space="preserve">5. Xây dựng, nâng cao chất lượng công chức, viên chức </w:t>
      </w:r>
    </w:p>
    <w:p w:rsidR="00B53000" w:rsidRPr="00DF31C5" w:rsidRDefault="00B53000" w:rsidP="00DF31C5">
      <w:pPr>
        <w:ind w:firstLine="567"/>
        <w:jc w:val="both"/>
        <w:rPr>
          <w:b/>
          <w:szCs w:val="28"/>
        </w:rPr>
      </w:pPr>
      <w:r w:rsidRPr="00DF31C5">
        <w:rPr>
          <w:szCs w:val="28"/>
        </w:rPr>
        <w:t xml:space="preserve">Ban hành Kế hoạch số 303/KH-SLĐTBXH ngày 15/02/2022 về </w:t>
      </w:r>
      <w:r w:rsidRPr="00DF31C5">
        <w:rPr>
          <w:szCs w:val="28"/>
          <w:shd w:val="clear" w:color="auto" w:fill="FFFFFF"/>
        </w:rPr>
        <w:t xml:space="preserve">đào tạo, bồi dưỡng công chức, viên chức của Sở Lao động – TB&amp;XH năm 2022. </w:t>
      </w:r>
      <w:r w:rsidRPr="00DF31C5">
        <w:rPr>
          <w:b/>
          <w:szCs w:val="28"/>
        </w:rPr>
        <w:t xml:space="preserve"> </w:t>
      </w:r>
    </w:p>
    <w:p w:rsidR="00B53000" w:rsidRPr="00DF31C5" w:rsidRDefault="00B53000" w:rsidP="00DF31C5">
      <w:pPr>
        <w:ind w:firstLine="567"/>
        <w:jc w:val="both"/>
        <w:rPr>
          <w:b/>
          <w:szCs w:val="28"/>
        </w:rPr>
      </w:pPr>
      <w:r w:rsidRPr="00DF31C5">
        <w:rPr>
          <w:szCs w:val="28"/>
          <w:shd w:val="clear" w:color="auto" w:fill="FFFFFF"/>
        </w:rPr>
        <w:t xml:space="preserve">Trong năm 2022, Sở đã cử 01 công chức và 01 viên chức tham gia lớp trung cấp lý luận chính trị; </w:t>
      </w:r>
      <w:r w:rsidRPr="00DF31C5">
        <w:rPr>
          <w:szCs w:val="28"/>
        </w:rPr>
        <w:t xml:space="preserve">03 công chức lớp Cao cấp lý luận chính trị; 01 công chức  tham gia </w:t>
      </w:r>
      <w:r w:rsidRPr="00DF31C5">
        <w:rPr>
          <w:rStyle w:val="Emphasis"/>
          <w:rFonts w:eastAsia="Arial Unicode MS"/>
          <w:i w:val="0"/>
        </w:rPr>
        <w:t>Bồi dưỡng kiến thức quốc phòng – an ninh</w:t>
      </w:r>
      <w:r w:rsidRPr="00DF31C5">
        <w:rPr>
          <w:i/>
          <w:szCs w:val="28"/>
          <w:shd w:val="clear" w:color="auto" w:fill="FFFFFF"/>
        </w:rPr>
        <w:t>;</w:t>
      </w:r>
      <w:r w:rsidRPr="00DF31C5">
        <w:rPr>
          <w:szCs w:val="28"/>
          <w:shd w:val="clear" w:color="auto" w:fill="FFFFFF"/>
        </w:rPr>
        <w:t xml:space="preserve"> Đăng ký 06 lượt công chức tham gia </w:t>
      </w:r>
      <w:r w:rsidRPr="00DF31C5">
        <w:t xml:space="preserve">Lớp bồi dưỡng kiến thức về cộng đồng ASEAN và kỹ năng hành chính, quản lý nhà nước đáp ứng các tiêu chuẩn của nền công vụ; lồng ghép chương trình tuyên truyền, phổ biến pháp luật về phòng, chống tham nhũng và đạo đức liêm chính; chương trình Hội nhập kinh tế quốc tế; cải thiện môi trường đầu tư, kinh doanh, nâng cao năng lực cạnh tranh của tỉnh; 03 lượt </w:t>
      </w:r>
      <w:r w:rsidRPr="00DF31C5">
        <w:lastRenderedPageBreak/>
        <w:t>công chức tham gia Lớp bồi dưỡng kiến thức về đạo đức, văn hóa công vụ.</w:t>
      </w:r>
      <w:r w:rsidRPr="00DF31C5">
        <w:rPr>
          <w:b/>
          <w:szCs w:val="28"/>
        </w:rPr>
        <w:t xml:space="preserve"> </w:t>
      </w:r>
      <w:r w:rsidRPr="00DF31C5">
        <w:rPr>
          <w:szCs w:val="28"/>
        </w:rPr>
        <w:t>Chỉ tiêu về đào tạo năm 2022, Sở đạt 100%.</w:t>
      </w:r>
    </w:p>
    <w:p w:rsidR="00B53000" w:rsidRPr="00DF31C5" w:rsidRDefault="00B53000" w:rsidP="00DF31C5">
      <w:pPr>
        <w:ind w:firstLine="567"/>
        <w:jc w:val="both"/>
        <w:rPr>
          <w:b/>
          <w:szCs w:val="28"/>
        </w:rPr>
      </w:pPr>
      <w:r w:rsidRPr="00DF31C5">
        <w:rPr>
          <w:szCs w:val="28"/>
        </w:rPr>
        <w:t>Công chức, viên chức thuộc Sở có trình độ chuyên môn, nghiệp vụ đáp ứng được công việc được giao, được bố trí phù hợp với vị trí việc làm đã được phê duyệt.</w:t>
      </w:r>
      <w:r w:rsidRPr="00DF31C5">
        <w:rPr>
          <w:b/>
          <w:szCs w:val="28"/>
        </w:rPr>
        <w:t xml:space="preserve"> </w:t>
      </w:r>
    </w:p>
    <w:p w:rsidR="00B53000" w:rsidRPr="00DF31C5" w:rsidRDefault="00B53000" w:rsidP="00DF31C5">
      <w:pPr>
        <w:ind w:firstLine="567"/>
        <w:jc w:val="both"/>
        <w:rPr>
          <w:szCs w:val="28"/>
        </w:rPr>
      </w:pPr>
      <w:r w:rsidRPr="00DF31C5">
        <w:rPr>
          <w:szCs w:val="28"/>
        </w:rPr>
        <w:t xml:space="preserve">Thực hiện tốt công tác phòng chống tham nhũng, quy chế dân chủ, văn minh, văn hóa công sở, thực hành tiết kiệm, chống lãng phí thông qua những việc làm cụ thể như: tiết kiệm giấy phô tô, giấy in, điện, nước... Công chức, viên chức đeo thẻ đúng quy định khi thực thi công vụ. Trong giao tiếp và ứng xử với nhân dân, cá nhân, tổ chức đến liên hệ công tác công chức, viên chức và người lao động luôn tôn trọng, nhã nhặn, lắng nghe ý kiến, giải thích, hướng dẫn rõ ràng, cụ thể về các quy định liên quan đến giải quyết công việc, không có thái độ hách dịch, nhũng nhiễu, gây khó khăn, phiền hà khi thực hiện nhiệm vụ.  </w:t>
      </w:r>
    </w:p>
    <w:p w:rsidR="00B53000" w:rsidRPr="00DF31C5" w:rsidRDefault="00B53000" w:rsidP="00DF31C5">
      <w:pPr>
        <w:ind w:firstLine="567"/>
        <w:jc w:val="both"/>
        <w:rPr>
          <w:b/>
          <w:szCs w:val="28"/>
        </w:rPr>
      </w:pPr>
      <w:r w:rsidRPr="00DF31C5">
        <w:rPr>
          <w:b/>
          <w:szCs w:val="28"/>
        </w:rPr>
        <w:t>6. Cải cách tài chính công</w:t>
      </w:r>
    </w:p>
    <w:p w:rsidR="00B53000" w:rsidRPr="00DF31C5" w:rsidRDefault="00B53000" w:rsidP="00DF31C5">
      <w:pPr>
        <w:ind w:firstLine="567"/>
        <w:jc w:val="both"/>
        <w:rPr>
          <w:szCs w:val="28"/>
        </w:rPr>
      </w:pPr>
      <w:r w:rsidRPr="00DF31C5">
        <w:rPr>
          <w:szCs w:val="28"/>
        </w:rPr>
        <w:t xml:space="preserve">Tiếp tục thực hiện có hiệu quả Quyết định số 424/QĐ-SLĐTBXH ngày 16/3/2021 về việc ban hành Quy chế chi tiêu nội bộ và quản lý, sử dụng tài sản công tại Văn phòng Sở Lao động - TB&amp;XH tỉnh Đăk Nông. </w:t>
      </w:r>
    </w:p>
    <w:p w:rsidR="00B53000" w:rsidRPr="00DF31C5" w:rsidRDefault="00B53000" w:rsidP="00DF31C5">
      <w:pPr>
        <w:ind w:firstLine="567"/>
        <w:jc w:val="both"/>
        <w:rPr>
          <w:b/>
          <w:szCs w:val="28"/>
        </w:rPr>
      </w:pPr>
      <w:r w:rsidRPr="00DF31C5">
        <w:rPr>
          <w:szCs w:val="28"/>
        </w:rPr>
        <w:t>Ban hành văn bản giao các đơn vị trực thuộc thực hiện theo Nghị định 43/2006/NĐ-CP ngày 25/4/2006 của Chính Phủ quy định quyền tự chủ, tự chịu trách nhiệm về thực hiện nhiệm vụ tổ chức bộ máy, biên chế và tài chính đối với đơn vị công lập nhằm tạo quyền chủ động trong việc quản lý biên chế và tài chính cho thủ trưởng các đơn vị. Hiện nay, Sở Lao động – Thương binh &amp; Xã hội có 02 đơn vị trực thuộc, bao gồm: Trung tâm dịch vụ việc làm, Trung tâm Bảo trợ xã hội. Trung tâm dịch vụ việc làm là đơn vị tự đảm bảo một phần kinh phí; Trung tâm Bảo trợ xã hội là đơn vị được Nhà nước đảm bảo toàn bộ chi phí.</w:t>
      </w:r>
    </w:p>
    <w:p w:rsidR="00B53000" w:rsidRPr="00A97073" w:rsidRDefault="00B53000" w:rsidP="00DF31C5">
      <w:pPr>
        <w:ind w:firstLine="567"/>
        <w:jc w:val="both"/>
        <w:rPr>
          <w:b/>
          <w:szCs w:val="28"/>
          <w:highlight w:val="yellow"/>
        </w:rPr>
      </w:pPr>
      <w:r w:rsidRPr="00A97073">
        <w:rPr>
          <w:b/>
          <w:szCs w:val="28"/>
          <w:highlight w:val="yellow"/>
        </w:rPr>
        <w:t>7. Xây dựng và phát triển chính quyền điện tử, chính quyền số</w:t>
      </w:r>
    </w:p>
    <w:p w:rsidR="00AD6C9F" w:rsidRPr="00A97073" w:rsidRDefault="00AD6C9F" w:rsidP="00DF31C5">
      <w:pPr>
        <w:ind w:firstLine="567"/>
        <w:jc w:val="both"/>
        <w:rPr>
          <w:szCs w:val="28"/>
          <w:highlight w:val="yellow"/>
        </w:rPr>
      </w:pPr>
      <w:r w:rsidRPr="00A97073">
        <w:rPr>
          <w:szCs w:val="28"/>
          <w:highlight w:val="yellow"/>
        </w:rPr>
        <w:t xml:space="preserve">Ban hành Kế hoạch số 743/KH-SLĐTBXH ngày 07/4/2022 về Kế hoạch ứng dụng công nghệ thông tin năm 2022 của Sở Lao động – TB&amp;XH; Kế hoạch số 760/KH-SLĐTBXH ngày 12/4/2022 về </w:t>
      </w:r>
      <w:r w:rsidRPr="00A97073">
        <w:rPr>
          <w:szCs w:val="28"/>
          <w:highlight w:val="yellow"/>
          <w:shd w:val="clear" w:color="auto" w:fill="FFFFFF"/>
        </w:rPr>
        <w:t>Triển khai thực hiện Chuyển đổi số và bảo đảm an toàn thông tin mạng năm 2022.</w:t>
      </w:r>
    </w:p>
    <w:p w:rsidR="00AD6C9F" w:rsidRPr="00A97073" w:rsidRDefault="00AD6C9F" w:rsidP="00DF31C5">
      <w:pPr>
        <w:ind w:firstLine="567"/>
        <w:jc w:val="both"/>
        <w:rPr>
          <w:szCs w:val="28"/>
          <w:highlight w:val="yellow"/>
        </w:rPr>
      </w:pPr>
      <w:r w:rsidRPr="00A97073">
        <w:rPr>
          <w:szCs w:val="28"/>
          <w:highlight w:val="yellow"/>
        </w:rPr>
        <w:t xml:space="preserve">Tiếp tục duy trì quán triệt đến công chức, viên chức và người lao động về chức năng, nhiệm vụ, quyền hạn trong quá trình sử dụng phần mềm Ioffice. </w:t>
      </w:r>
    </w:p>
    <w:p w:rsidR="00A97073" w:rsidRDefault="00B53000" w:rsidP="00DF31C5">
      <w:pPr>
        <w:ind w:firstLine="567"/>
        <w:jc w:val="both"/>
        <w:rPr>
          <w:szCs w:val="28"/>
          <w:highlight w:val="yellow"/>
        </w:rPr>
      </w:pPr>
      <w:r w:rsidRPr="00A97073">
        <w:rPr>
          <w:szCs w:val="28"/>
          <w:highlight w:val="yellow"/>
        </w:rPr>
        <w:t>1</w:t>
      </w:r>
      <w:r w:rsidR="00AD6C9F" w:rsidRPr="00A97073">
        <w:rPr>
          <w:szCs w:val="28"/>
          <w:highlight w:val="yellow"/>
        </w:rPr>
        <w:t xml:space="preserve">00% công chức thuộc Sở sử dụng hộp thư điện tử để trao đổi, giải quyết công việc; từng bước thực hiện số hóa tài liệu, văn bản. </w:t>
      </w:r>
    </w:p>
    <w:p w:rsidR="00A97073" w:rsidRDefault="00AD6C9F" w:rsidP="00DF31C5">
      <w:pPr>
        <w:ind w:firstLine="567"/>
        <w:jc w:val="both"/>
        <w:rPr>
          <w:szCs w:val="28"/>
          <w:highlight w:val="yellow"/>
        </w:rPr>
      </w:pPr>
      <w:r w:rsidRPr="00A97073">
        <w:rPr>
          <w:szCs w:val="28"/>
          <w:highlight w:val="yellow"/>
        </w:rPr>
        <w:t xml:space="preserve">100% lãnh đạo Sở duy trì sử dụng chữ ký số, </w:t>
      </w:r>
    </w:p>
    <w:p w:rsidR="00AD6C9F" w:rsidRDefault="00AD6C9F" w:rsidP="00DF31C5">
      <w:pPr>
        <w:ind w:firstLine="567"/>
        <w:jc w:val="both"/>
        <w:rPr>
          <w:szCs w:val="28"/>
          <w:highlight w:val="yellow"/>
        </w:rPr>
      </w:pPr>
      <w:r w:rsidRPr="00A97073">
        <w:rPr>
          <w:szCs w:val="28"/>
          <w:highlight w:val="yellow"/>
        </w:rPr>
        <w:t xml:space="preserve">100% văn bản (không mang tính chất mật) được ban hành trên hệ thống Ioffice, thực hiện lưu trữ hồ sơ điện tử theo đúng quy định. </w:t>
      </w:r>
    </w:p>
    <w:p w:rsidR="003704D1" w:rsidRPr="00A97073" w:rsidRDefault="003704D1" w:rsidP="00DF31C5">
      <w:pPr>
        <w:ind w:firstLine="567"/>
        <w:jc w:val="both"/>
        <w:rPr>
          <w:szCs w:val="28"/>
          <w:highlight w:val="yellow"/>
        </w:rPr>
      </w:pPr>
      <w:r>
        <w:rPr>
          <w:szCs w:val="28"/>
          <w:highlight w:val="yellow"/>
        </w:rPr>
        <w:t>100%</w:t>
      </w:r>
      <w:r w:rsidR="0022014A">
        <w:rPr>
          <w:szCs w:val="28"/>
          <w:highlight w:val="yellow"/>
        </w:rPr>
        <w:t xml:space="preserve"> các đơn vị,</w:t>
      </w:r>
      <w:r>
        <w:rPr>
          <w:szCs w:val="28"/>
          <w:highlight w:val="yellow"/>
        </w:rPr>
        <w:t xml:space="preserve"> các phòng ban, cán bộ, công chức, viên chức, người lao động được cung cấp và Sử dụng hộp thư điện tử công vụ theo quy định ( </w:t>
      </w:r>
      <w:r w:rsidRPr="00442673">
        <w:rPr>
          <w:i/>
          <w:szCs w:val="28"/>
          <w:highlight w:val="yellow"/>
        </w:rPr>
        <w:t>Đơn vị đã ban hành Quy chế sử dụng Hệ thống thư điện tử công vụ - Quyết định số 999/QĐ-SLĐTBXH ngày 12/4/2022</w:t>
      </w:r>
      <w:r>
        <w:rPr>
          <w:szCs w:val="28"/>
          <w:highlight w:val="yellow"/>
        </w:rPr>
        <w:t>)</w:t>
      </w:r>
      <w:r w:rsidR="00B71A50">
        <w:rPr>
          <w:szCs w:val="28"/>
          <w:highlight w:val="yellow"/>
        </w:rPr>
        <w:t>.</w:t>
      </w:r>
      <w:bookmarkStart w:id="0" w:name="_GoBack"/>
      <w:bookmarkEnd w:id="0"/>
    </w:p>
    <w:p w:rsidR="00AD6C9F" w:rsidRPr="00A97073" w:rsidRDefault="00AD6C9F" w:rsidP="00DF31C5">
      <w:pPr>
        <w:ind w:firstLine="567"/>
        <w:jc w:val="both"/>
        <w:rPr>
          <w:rStyle w:val="Strong"/>
          <w:b w:val="0"/>
          <w:szCs w:val="28"/>
          <w:highlight w:val="yellow"/>
        </w:rPr>
      </w:pPr>
      <w:r w:rsidRPr="00A97073">
        <w:rPr>
          <w:szCs w:val="28"/>
          <w:highlight w:val="yellow"/>
        </w:rPr>
        <w:t xml:space="preserve">- Ban hành </w:t>
      </w:r>
      <w:r w:rsidR="00B53000" w:rsidRPr="00A97073">
        <w:rPr>
          <w:szCs w:val="28"/>
          <w:highlight w:val="yellow"/>
        </w:rPr>
        <w:t xml:space="preserve">và thực hiện có hiệu quả </w:t>
      </w:r>
      <w:r w:rsidRPr="00A97073">
        <w:rPr>
          <w:szCs w:val="28"/>
          <w:highlight w:val="yellow"/>
        </w:rPr>
        <w:t xml:space="preserve">Kế hoạch </w:t>
      </w:r>
      <w:r w:rsidRPr="00A97073">
        <w:rPr>
          <w:rStyle w:val="Strong"/>
          <w:b w:val="0"/>
          <w:szCs w:val="28"/>
          <w:highlight w:val="yellow"/>
        </w:rPr>
        <w:t>Duy trì, áp dụng Hệ thống QLCL theo tiêu chuẩn</w:t>
      </w:r>
      <w:r w:rsidRPr="00A97073">
        <w:rPr>
          <w:b/>
          <w:szCs w:val="28"/>
          <w:highlight w:val="yellow"/>
        </w:rPr>
        <w:t xml:space="preserve"> </w:t>
      </w:r>
      <w:r w:rsidRPr="00A97073">
        <w:rPr>
          <w:rStyle w:val="Strong"/>
          <w:b w:val="0"/>
          <w:szCs w:val="28"/>
          <w:highlight w:val="yellow"/>
        </w:rPr>
        <w:t xml:space="preserve">TCVN ISO 9001:2015 vào hoạt động của Sở Lao động – Thương binh và Xã hội tỉnh Đăk Nông năm 2022; xây dựng chính sách chất </w:t>
      </w:r>
      <w:r w:rsidRPr="00A97073">
        <w:rPr>
          <w:rStyle w:val="Strong"/>
          <w:b w:val="0"/>
          <w:szCs w:val="28"/>
          <w:highlight w:val="yellow"/>
        </w:rPr>
        <w:lastRenderedPageBreak/>
        <w:t xml:space="preserve">lượng, Mục tiêu chất lượng của Sở năm 2022. </w:t>
      </w:r>
      <w:r w:rsidR="00B53000" w:rsidRPr="00A97073">
        <w:rPr>
          <w:rStyle w:val="Strong"/>
          <w:b w:val="0"/>
          <w:szCs w:val="28"/>
          <w:highlight w:val="yellow"/>
        </w:rPr>
        <w:t>Thường xuyên cập nhật kịp thời các quy trình giải quyết TTHC được ban hành mới, sửa đổi bổ</w:t>
      </w:r>
      <w:r w:rsidR="00DF31C5" w:rsidRPr="00A97073">
        <w:rPr>
          <w:rStyle w:val="Strong"/>
          <w:b w:val="0"/>
          <w:szCs w:val="28"/>
          <w:highlight w:val="yellow"/>
        </w:rPr>
        <w:t xml:space="preserve"> sung.</w:t>
      </w:r>
    </w:p>
    <w:p w:rsidR="00D71FB0" w:rsidRPr="00A97073" w:rsidRDefault="00D71FB0" w:rsidP="00DF31C5">
      <w:pPr>
        <w:ind w:firstLine="567"/>
        <w:jc w:val="both"/>
        <w:rPr>
          <w:szCs w:val="28"/>
          <w:highlight w:val="yellow"/>
        </w:rPr>
      </w:pPr>
      <w:r w:rsidRPr="00A97073">
        <w:rPr>
          <w:rStyle w:val="Strong"/>
          <w:b w:val="0"/>
          <w:szCs w:val="28"/>
          <w:highlight w:val="yellow"/>
        </w:rPr>
        <w:t xml:space="preserve">Tổ chức </w:t>
      </w:r>
      <w:r w:rsidRPr="00A97073">
        <w:rPr>
          <w:szCs w:val="28"/>
          <w:highlight w:val="yellow"/>
        </w:rPr>
        <w:t>khảo sát mức độ hài lòng đối với việc cung cấp dịch vụ công và thực thi công vụ. Kết quả 7/7 phiếu thu về hài lòng với với việc cung cấp dịch vụ công, thực thi công vụ của công chức, viên chức Sở Lao động – Thương binh và Xã hội.</w:t>
      </w:r>
      <w:r w:rsidR="00A97073" w:rsidRPr="00A97073">
        <w:rPr>
          <w:szCs w:val="28"/>
          <w:highlight w:val="yellow"/>
        </w:rPr>
        <w:t xml:space="preserve"> </w:t>
      </w:r>
    </w:p>
    <w:p w:rsidR="00A97073" w:rsidRPr="00A97073" w:rsidRDefault="00A97073" w:rsidP="00DF31C5">
      <w:pPr>
        <w:ind w:firstLine="567"/>
        <w:jc w:val="both"/>
        <w:rPr>
          <w:szCs w:val="28"/>
          <w:highlight w:val="yellow"/>
        </w:rPr>
      </w:pPr>
      <w:r w:rsidRPr="00A97073">
        <w:rPr>
          <w:szCs w:val="28"/>
          <w:highlight w:val="yellow"/>
        </w:rPr>
        <w:t xml:space="preserve">Năm </w:t>
      </w:r>
      <w:r w:rsidR="00485ED1">
        <w:rPr>
          <w:szCs w:val="28"/>
          <w:highlight w:val="yellow"/>
        </w:rPr>
        <w:t>2022, Sở Lao động - Thương binh và Xã hội có 01 đồng chí trúng tuyển công chức CNTT được bố trí vào làm việc</w:t>
      </w:r>
      <w:r w:rsidR="003704D1">
        <w:rPr>
          <w:szCs w:val="28"/>
          <w:highlight w:val="yellow"/>
        </w:rPr>
        <w:t xml:space="preserve"> </w:t>
      </w:r>
      <w:r w:rsidR="00485ED1">
        <w:rPr>
          <w:szCs w:val="28"/>
          <w:highlight w:val="yellow"/>
        </w:rPr>
        <w:t>tại Văn phòng Sở  (Quyết định số   ).</w:t>
      </w:r>
    </w:p>
    <w:p w:rsidR="00A97073" w:rsidRDefault="00A97073" w:rsidP="00DF31C5">
      <w:pPr>
        <w:ind w:firstLine="567"/>
        <w:jc w:val="both"/>
        <w:rPr>
          <w:szCs w:val="28"/>
        </w:rPr>
      </w:pPr>
      <w:r w:rsidRPr="00A97073">
        <w:rPr>
          <w:szCs w:val="28"/>
          <w:highlight w:val="yellow"/>
        </w:rPr>
        <w:t xml:space="preserve">- </w:t>
      </w:r>
      <w:r w:rsidR="003B716F">
        <w:rPr>
          <w:szCs w:val="28"/>
          <w:highlight w:val="yellow"/>
        </w:rPr>
        <w:t>Trang thông tin điện tử của Sở Lao động - Thương binh và Xã hội được Sở Thông tin và Truyền thông tỉnh Đắk Nông Cấp giấy phép số 109/GPTTTĐT-STTTT ngày 24/4/2018;</w:t>
      </w:r>
      <w:r w:rsidRPr="00A97073">
        <w:rPr>
          <w:szCs w:val="28"/>
          <w:highlight w:val="yellow"/>
        </w:rPr>
        <w:t xml:space="preserve"> </w:t>
      </w:r>
      <w:r w:rsidR="003B716F">
        <w:rPr>
          <w:szCs w:val="28"/>
        </w:rPr>
        <w:t>Trang thông tin điện tử: đã có Quyết định thành lập Ban biên tập, Quy chế hoạt động, Quy định chế độ nhuận bút và thường xuyên cập nhật các hoạt động đăng tải cung cấp thông tin để tổ chức, cá nhân, doanh nghiệp, công chức, viên chức, người lao động nắm bắt về các chủ trương, đường lối, chính sách của Đảng các hoạt động của ngành, của Sở; Trang thông tin điện tử có đầy đủ các tính năng và cung cấp thông tin theo quy định của Nghị định số 42/2022/NĐ-CP ngày 26 tháng 4 năm 2022 của Chính phủ.</w:t>
      </w:r>
    </w:p>
    <w:p w:rsidR="00AD6C9F" w:rsidRPr="00DF31C5" w:rsidRDefault="00AD6C9F" w:rsidP="00DF31C5">
      <w:pPr>
        <w:ind w:firstLine="567"/>
        <w:jc w:val="both"/>
        <w:rPr>
          <w:b/>
        </w:rPr>
      </w:pPr>
      <w:r w:rsidRPr="00DF31C5">
        <w:rPr>
          <w:b/>
        </w:rPr>
        <w:t>II</w:t>
      </w:r>
      <w:r w:rsidRPr="00DF31C5">
        <w:rPr>
          <w:b/>
          <w:lang w:val="hr-HR"/>
        </w:rPr>
        <w:t xml:space="preserve">. </w:t>
      </w:r>
      <w:r w:rsidR="00067F4C" w:rsidRPr="00DF31C5">
        <w:rPr>
          <w:b/>
        </w:rPr>
        <w:t>KẾ HOẠCH NĂM 2023</w:t>
      </w:r>
    </w:p>
    <w:p w:rsidR="00067F4C" w:rsidRPr="00DF31C5" w:rsidRDefault="00067F4C" w:rsidP="00DF31C5">
      <w:pPr>
        <w:ind w:firstLine="567"/>
        <w:jc w:val="both"/>
        <w:rPr>
          <w:b/>
        </w:rPr>
      </w:pPr>
      <w:r w:rsidRPr="00DF31C5">
        <w:rPr>
          <w:b/>
        </w:rPr>
        <w:t>1. Công tác chỉ đạo điều hành</w:t>
      </w:r>
    </w:p>
    <w:p w:rsidR="00067F4C" w:rsidRPr="00DF31C5" w:rsidRDefault="00D76A2B" w:rsidP="00DF31C5">
      <w:pPr>
        <w:ind w:firstLine="567"/>
        <w:jc w:val="both"/>
      </w:pPr>
      <w:r w:rsidRPr="00DF31C5">
        <w:t>Ban hành và thực hiện có hiệu quả các nội dung tại Kế hoạch cải cách hành chính năm 2023.</w:t>
      </w:r>
    </w:p>
    <w:p w:rsidR="009C67E9" w:rsidRPr="00DF31C5" w:rsidRDefault="00067F4C" w:rsidP="00DF31C5">
      <w:pPr>
        <w:ind w:firstLine="567"/>
        <w:jc w:val="both"/>
        <w:rPr>
          <w:b/>
        </w:rPr>
      </w:pPr>
      <w:r w:rsidRPr="00DF31C5">
        <w:rPr>
          <w:b/>
        </w:rPr>
        <w:t>2.</w:t>
      </w:r>
      <w:r w:rsidR="009C67E9" w:rsidRPr="00DF31C5">
        <w:rPr>
          <w:b/>
        </w:rPr>
        <w:t xml:space="preserve"> Xây dựng và tổ chức thực hiện văn bản QPPL</w:t>
      </w:r>
    </w:p>
    <w:p w:rsidR="009C67E9" w:rsidRPr="00DF31C5" w:rsidRDefault="00D76A2B" w:rsidP="00DF31C5">
      <w:pPr>
        <w:ind w:firstLine="567"/>
        <w:jc w:val="both"/>
      </w:pPr>
      <w:r w:rsidRPr="00DF31C5">
        <w:t xml:space="preserve">Cập nhật, triển khai kịp thời văn bản QPPL của Trung ương; </w:t>
      </w:r>
      <w:r w:rsidR="00D71FB0" w:rsidRPr="00DF31C5">
        <w:t>Tham mưu trình Hội đồng nhân dân, UBND ban hành văn bản QPPL đúng trình tự, đảm bảo nội dung, thời gian quy định.</w:t>
      </w:r>
    </w:p>
    <w:p w:rsidR="00067F4C" w:rsidRPr="00DF31C5" w:rsidRDefault="009C67E9" w:rsidP="00DF31C5">
      <w:pPr>
        <w:ind w:firstLine="567"/>
        <w:jc w:val="both"/>
        <w:rPr>
          <w:b/>
        </w:rPr>
      </w:pPr>
      <w:r w:rsidRPr="00DF31C5">
        <w:rPr>
          <w:b/>
        </w:rPr>
        <w:t>3. Cải cách thủ tục hành chính</w:t>
      </w:r>
    </w:p>
    <w:p w:rsidR="00D76A2B" w:rsidRPr="00DF31C5" w:rsidRDefault="00D76A2B" w:rsidP="00DF31C5">
      <w:pPr>
        <w:ind w:firstLine="567"/>
        <w:jc w:val="both"/>
      </w:pPr>
      <w:r w:rsidRPr="00DF31C5">
        <w:t xml:space="preserve">Thực hiện rà soát, đề xuất bổ sung, điều chỉnh các quy trình, thủ tục hành chính và thực hiện các thủ tục hành chính phù hợp với quy định của pháp luật. </w:t>
      </w:r>
    </w:p>
    <w:p w:rsidR="00D76A2B" w:rsidRPr="00DF31C5" w:rsidRDefault="00D76A2B" w:rsidP="00DF31C5">
      <w:pPr>
        <w:ind w:firstLine="567"/>
        <w:jc w:val="both"/>
      </w:pPr>
      <w:r w:rsidRPr="00DF31C5">
        <w:t xml:space="preserve">Tham mưu UBND tỉnh công bố danh mục TTHC đúng nội dung, thời gian quy định. </w:t>
      </w:r>
    </w:p>
    <w:p w:rsidR="00D76A2B" w:rsidRPr="00DF31C5" w:rsidRDefault="00D71FB0" w:rsidP="00DF31C5">
      <w:pPr>
        <w:ind w:firstLine="567"/>
        <w:jc w:val="both"/>
      </w:pPr>
      <w:r w:rsidRPr="00DF31C5">
        <w:t>Tham mưu trình UBND tỉnh cắt giảm thời gian giải quyết đối với các TTHC thường xuyên phát sinh hồ sơ.</w:t>
      </w:r>
    </w:p>
    <w:p w:rsidR="009C67E9" w:rsidRPr="00DF31C5" w:rsidRDefault="009C67E9" w:rsidP="00DF31C5">
      <w:pPr>
        <w:ind w:firstLine="567"/>
        <w:jc w:val="both"/>
        <w:rPr>
          <w:b/>
        </w:rPr>
      </w:pPr>
      <w:r w:rsidRPr="00DF31C5">
        <w:rPr>
          <w:b/>
        </w:rPr>
        <w:t>4. Cải cách tổ chức bộ máy</w:t>
      </w:r>
    </w:p>
    <w:p w:rsidR="002A0D83" w:rsidRPr="00DF31C5" w:rsidRDefault="002A0D83" w:rsidP="00DF31C5">
      <w:pPr>
        <w:ind w:firstLine="567"/>
        <w:jc w:val="both"/>
        <w:rPr>
          <w:rStyle w:val="Emphasis"/>
          <w:rFonts w:eastAsia="Arial Unicode MS"/>
          <w:i w:val="0"/>
          <w:szCs w:val="28"/>
          <w:bdr w:val="none" w:sz="0" w:space="0" w:color="auto" w:frame="1"/>
          <w:shd w:val="clear" w:color="auto" w:fill="FFFFFF"/>
        </w:rPr>
      </w:pPr>
      <w:r w:rsidRPr="00DF31C5">
        <w:t xml:space="preserve">Thực hiện kịp thời, đúng quy định </w:t>
      </w:r>
      <w:r w:rsidRPr="00DF31C5">
        <w:rPr>
          <w:rStyle w:val="Emphasis"/>
          <w:rFonts w:eastAsia="Arial Unicode MS"/>
          <w:i w:val="0"/>
          <w:szCs w:val="28"/>
          <w:bdr w:val="none" w:sz="0" w:space="0" w:color="auto" w:frame="1"/>
          <w:shd w:val="clear" w:color="auto" w:fill="FFFFFF"/>
        </w:rPr>
        <w:t>các quy định, hướng dẫn của Trung ương và của tỉnh.</w:t>
      </w:r>
    </w:p>
    <w:p w:rsidR="002A0D83" w:rsidRPr="00DF31C5" w:rsidRDefault="002A0D83" w:rsidP="00DF31C5">
      <w:pPr>
        <w:ind w:firstLine="567"/>
        <w:jc w:val="both"/>
        <w:rPr>
          <w:rStyle w:val="Emphasis"/>
          <w:rFonts w:eastAsia="Arial Unicode MS"/>
          <w:i w:val="0"/>
          <w:szCs w:val="28"/>
          <w:bdr w:val="none" w:sz="0" w:space="0" w:color="auto" w:frame="1"/>
          <w:shd w:val="clear" w:color="auto" w:fill="FFFFFF"/>
        </w:rPr>
      </w:pPr>
      <w:r w:rsidRPr="00DF31C5">
        <w:rPr>
          <w:rStyle w:val="Emphasis"/>
          <w:rFonts w:eastAsia="Arial Unicode MS"/>
          <w:i w:val="0"/>
          <w:szCs w:val="28"/>
          <w:bdr w:val="none" w:sz="0" w:space="0" w:color="auto" w:frame="1"/>
          <w:shd w:val="clear" w:color="auto" w:fill="FFFFFF"/>
        </w:rPr>
        <w:t>Thực hiện đúng quy định về cơ cấu, số lượng lãnh đạo cấp phòng và tương đương; Không sử dụng vượt quá số lượng biên chế được giao.</w:t>
      </w:r>
    </w:p>
    <w:p w:rsidR="002A0D83" w:rsidRPr="00DF31C5" w:rsidRDefault="002A0D83" w:rsidP="00DF31C5">
      <w:pPr>
        <w:ind w:firstLine="567"/>
        <w:jc w:val="both"/>
        <w:rPr>
          <w:rStyle w:val="Emphasis"/>
          <w:rFonts w:eastAsia="Arial Unicode MS"/>
          <w:i w:val="0"/>
          <w:szCs w:val="28"/>
          <w:bdr w:val="none" w:sz="0" w:space="0" w:color="auto" w:frame="1"/>
          <w:shd w:val="clear" w:color="auto" w:fill="FFFFFF"/>
        </w:rPr>
      </w:pPr>
      <w:r w:rsidRPr="00DF31C5">
        <w:rPr>
          <w:rStyle w:val="Emphasis"/>
          <w:rFonts w:eastAsia="Arial Unicode MS"/>
          <w:i w:val="0"/>
          <w:szCs w:val="28"/>
          <w:bdr w:val="none" w:sz="0" w:space="0" w:color="auto" w:frame="1"/>
          <w:shd w:val="clear" w:color="auto" w:fill="FFFFFF"/>
        </w:rPr>
        <w:t>100% các phòng chuyên môn, đơn vị trực thuộc có thông báo phân công nhiệm vụ.</w:t>
      </w:r>
    </w:p>
    <w:p w:rsidR="009C67E9" w:rsidRPr="00DF31C5" w:rsidRDefault="009C67E9" w:rsidP="00DF31C5">
      <w:pPr>
        <w:ind w:firstLine="567"/>
        <w:jc w:val="both"/>
        <w:rPr>
          <w:b/>
        </w:rPr>
      </w:pPr>
      <w:r w:rsidRPr="00DF31C5">
        <w:rPr>
          <w:b/>
        </w:rPr>
        <w:t xml:space="preserve">5. Xây dựng, nâng cao chất lượng công chức, viên chức </w:t>
      </w:r>
    </w:p>
    <w:p w:rsidR="008E5E70" w:rsidRPr="00DF31C5" w:rsidRDefault="002A0D83" w:rsidP="00DF31C5">
      <w:pPr>
        <w:ind w:firstLine="567"/>
        <w:jc w:val="both"/>
      </w:pPr>
      <w:r w:rsidRPr="00DF31C5">
        <w:t xml:space="preserve">Xây dựng và thực hiện có hiệu quả kế hoạch đào tạo năm 2023 đề ra; </w:t>
      </w:r>
      <w:r w:rsidR="008E5E70" w:rsidRPr="00DF31C5">
        <w:t xml:space="preserve">Triển khai công tác đào tạo, bồi dưỡng công chức, viên chức phù hợp với tiêu chuẩn, chức danh, vị trí việc làm. </w:t>
      </w:r>
    </w:p>
    <w:p w:rsidR="002A0D83" w:rsidRPr="00DF31C5" w:rsidRDefault="002A0D83" w:rsidP="00DF31C5">
      <w:pPr>
        <w:ind w:firstLine="567"/>
        <w:jc w:val="both"/>
      </w:pPr>
      <w:r w:rsidRPr="00DF31C5">
        <w:lastRenderedPageBreak/>
        <w:t xml:space="preserve">Thường xuyên cập nhật thông tin của công chức, viên chức lên phần mềm thông tin quản lý cán bộ, công chức, viên chức của tỉnh. </w:t>
      </w:r>
    </w:p>
    <w:p w:rsidR="009C67E9" w:rsidRPr="00DF31C5" w:rsidRDefault="002A0D83" w:rsidP="00DF31C5">
      <w:pPr>
        <w:ind w:firstLine="567"/>
        <w:jc w:val="both"/>
      </w:pPr>
      <w:r w:rsidRPr="00DF31C5">
        <w:t>Thực hiện đúng các chế độ, chính sách cho công chức, viên chức, người lao động.</w:t>
      </w:r>
    </w:p>
    <w:p w:rsidR="009C67E9" w:rsidRPr="00DF31C5" w:rsidRDefault="009C67E9" w:rsidP="00DF31C5">
      <w:pPr>
        <w:ind w:firstLine="567"/>
        <w:jc w:val="both"/>
        <w:rPr>
          <w:b/>
        </w:rPr>
      </w:pPr>
      <w:r w:rsidRPr="00DF31C5">
        <w:rPr>
          <w:b/>
        </w:rPr>
        <w:t xml:space="preserve">6. Cải cách tài chính công </w:t>
      </w:r>
    </w:p>
    <w:p w:rsidR="009C67E9" w:rsidRPr="00DF31C5" w:rsidRDefault="002A0D83" w:rsidP="00DF31C5">
      <w:pPr>
        <w:ind w:firstLine="567"/>
        <w:jc w:val="both"/>
      </w:pPr>
      <w:r w:rsidRPr="00DF31C5">
        <w:t>Tiếp tục thực hiện chế độ tự chủ tự chịu trách nhiệm về sử dụng kinh phí quản lý hành chính.</w:t>
      </w:r>
    </w:p>
    <w:p w:rsidR="002A0D83" w:rsidRPr="00DF31C5" w:rsidRDefault="002A0D83" w:rsidP="00DF31C5">
      <w:pPr>
        <w:ind w:firstLine="567"/>
        <w:jc w:val="both"/>
      </w:pPr>
      <w:r w:rsidRPr="00DF31C5">
        <w:t xml:space="preserve">Thực hiện nghiêm các kiến nghị sau kiểm toán </w:t>
      </w:r>
      <w:r w:rsidRPr="00DF31C5">
        <w:rPr>
          <w:i/>
        </w:rPr>
        <w:t>(nếu có)</w:t>
      </w:r>
    </w:p>
    <w:p w:rsidR="009C67E9" w:rsidRPr="00DF31C5" w:rsidRDefault="009C67E9" w:rsidP="00DF31C5">
      <w:pPr>
        <w:ind w:firstLine="567"/>
        <w:jc w:val="both"/>
        <w:rPr>
          <w:b/>
        </w:rPr>
      </w:pPr>
      <w:r w:rsidRPr="00DF31C5">
        <w:rPr>
          <w:b/>
        </w:rPr>
        <w:t>7. Xây dựng và phát triển chính quyền điện tử, chính quyền số</w:t>
      </w:r>
    </w:p>
    <w:p w:rsidR="00D76A2B" w:rsidRPr="00DF31C5" w:rsidRDefault="00D76A2B" w:rsidP="00DF31C5">
      <w:pPr>
        <w:ind w:firstLine="567"/>
        <w:jc w:val="both"/>
      </w:pPr>
      <w:r w:rsidRPr="00DF31C5">
        <w:t xml:space="preserve">Xây dựng và thực hiện có hiệu quả các nội dung tại kế hoạch chuyển đổi số năm 2023. </w:t>
      </w:r>
    </w:p>
    <w:p w:rsidR="00D76A2B" w:rsidRPr="00DF31C5" w:rsidRDefault="00D76A2B" w:rsidP="00DF31C5">
      <w:pPr>
        <w:ind w:firstLine="567"/>
        <w:jc w:val="both"/>
      </w:pPr>
      <w:r w:rsidRPr="00DF31C5">
        <w:t xml:space="preserve">Phấn đấu 100% văn bản của đơn vị được ban hành dưới dạng điện tử </w:t>
      </w:r>
      <w:r w:rsidRPr="00DF31C5">
        <w:rPr>
          <w:i/>
        </w:rPr>
        <w:t>(trừ văn bản mật)</w:t>
      </w:r>
      <w:r w:rsidRPr="00DF31C5">
        <w:t>; 100% công chức viên chức sử dụng hộp thư công vụ; 100% lãnh đạo Sở, các phòng chuyên môn, đơn vị sự nghiệp thuộc Sở sử dụng chữ ký số, chứng thư số.</w:t>
      </w:r>
    </w:p>
    <w:p w:rsidR="00D76A2B" w:rsidRPr="00DF31C5" w:rsidRDefault="00D76A2B" w:rsidP="00DF31C5">
      <w:pPr>
        <w:ind w:firstLine="567"/>
        <w:jc w:val="both"/>
      </w:pPr>
      <w:r w:rsidRPr="00DF31C5">
        <w:t xml:space="preserve">Tiếp tục bố trí công chức chuyên trách công nghệ thông tin. </w:t>
      </w:r>
    </w:p>
    <w:p w:rsidR="00D76A2B" w:rsidRPr="00DF31C5" w:rsidRDefault="00D76A2B" w:rsidP="00DF31C5">
      <w:pPr>
        <w:ind w:firstLine="567"/>
        <w:jc w:val="both"/>
      </w:pPr>
      <w:r w:rsidRPr="00DF31C5">
        <w:t xml:space="preserve">Tiếp tục cung cấp dịch vụ công trực tuyến mức độ 3, 4; Khuyến nghị tổ chức công dân nộp hồ sơ trực tuyến tại hệ thống dịch vụ công. </w:t>
      </w:r>
    </w:p>
    <w:p w:rsidR="00AD6C9F" w:rsidRPr="00DF31C5" w:rsidRDefault="00AD6C9F" w:rsidP="00DF31C5">
      <w:pPr>
        <w:ind w:firstLine="567"/>
        <w:jc w:val="both"/>
      </w:pPr>
      <w:r w:rsidRPr="00DF31C5">
        <w:t>Trên đây là báo cáo kết quả thực hiện cải cách hành chính năm 2022, kế hoạch nhiệm vụ năm 2023 của Sở Lao động – TB&amp;XH tỉnh Đắk Nông./.</w:t>
      </w:r>
    </w:p>
    <w:p w:rsidR="00AD6C9F" w:rsidRPr="00DF31C5" w:rsidRDefault="00AD6C9F" w:rsidP="00AD6C9F">
      <w:pPr>
        <w:shd w:val="clear" w:color="auto" w:fill="FFFFFF"/>
        <w:ind w:firstLine="567"/>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D6C9F" w:rsidRPr="00DF31C5" w:rsidTr="00175A9F">
        <w:tc>
          <w:tcPr>
            <w:tcW w:w="4644" w:type="dxa"/>
          </w:tcPr>
          <w:p w:rsidR="00AD6C9F" w:rsidRPr="00DF31C5" w:rsidRDefault="00AD6C9F" w:rsidP="00175A9F">
            <w:pPr>
              <w:jc w:val="both"/>
              <w:rPr>
                <w:b/>
              </w:rPr>
            </w:pPr>
            <w:r w:rsidRPr="00DF31C5">
              <w:rPr>
                <w:b/>
                <w:i/>
                <w:sz w:val="24"/>
              </w:rPr>
              <w:t>Nơi nhận:</w:t>
            </w:r>
            <w:r w:rsidRPr="00DF31C5">
              <w:rPr>
                <w:b/>
                <w:sz w:val="26"/>
                <w:szCs w:val="26"/>
              </w:rPr>
              <w:t xml:space="preserve"> </w:t>
            </w:r>
            <w:r w:rsidRPr="00DF31C5">
              <w:rPr>
                <w:sz w:val="26"/>
                <w:szCs w:val="26"/>
              </w:rPr>
              <w:tab/>
            </w:r>
            <w:r w:rsidRPr="00DF31C5">
              <w:rPr>
                <w:sz w:val="26"/>
                <w:szCs w:val="26"/>
              </w:rPr>
              <w:tab/>
            </w:r>
            <w:r w:rsidRPr="00DF31C5">
              <w:rPr>
                <w:sz w:val="26"/>
                <w:szCs w:val="26"/>
              </w:rPr>
              <w:tab/>
            </w:r>
            <w:r w:rsidRPr="00DF31C5">
              <w:rPr>
                <w:sz w:val="26"/>
                <w:szCs w:val="26"/>
              </w:rPr>
              <w:tab/>
            </w:r>
            <w:r w:rsidRPr="00DF31C5">
              <w:rPr>
                <w:sz w:val="26"/>
                <w:szCs w:val="26"/>
              </w:rPr>
              <w:tab/>
            </w:r>
            <w:r w:rsidRPr="00DF31C5">
              <w:rPr>
                <w:b/>
                <w:szCs w:val="28"/>
              </w:rPr>
              <w:t xml:space="preserve">  </w:t>
            </w:r>
          </w:p>
          <w:p w:rsidR="00AD6C9F" w:rsidRPr="00DF31C5" w:rsidRDefault="00AD6C9F" w:rsidP="00175A9F">
            <w:pPr>
              <w:jc w:val="both"/>
              <w:rPr>
                <w:b/>
                <w:szCs w:val="28"/>
              </w:rPr>
            </w:pPr>
            <w:r w:rsidRPr="00DF31C5">
              <w:rPr>
                <w:sz w:val="22"/>
                <w:szCs w:val="22"/>
              </w:rPr>
              <w:t>- Sở Nội vụ;</w:t>
            </w:r>
            <w:r w:rsidRPr="00DF31C5">
              <w:rPr>
                <w:sz w:val="24"/>
              </w:rPr>
              <w:tab/>
            </w:r>
            <w:r w:rsidRPr="00DF31C5">
              <w:rPr>
                <w:sz w:val="24"/>
              </w:rPr>
              <w:tab/>
            </w:r>
            <w:r w:rsidRPr="00DF31C5">
              <w:rPr>
                <w:sz w:val="24"/>
              </w:rPr>
              <w:tab/>
            </w:r>
            <w:r w:rsidRPr="00DF31C5">
              <w:rPr>
                <w:sz w:val="24"/>
              </w:rPr>
              <w:tab/>
            </w:r>
            <w:r w:rsidRPr="00DF31C5">
              <w:rPr>
                <w:sz w:val="24"/>
              </w:rPr>
              <w:tab/>
              <w:t xml:space="preserve">                </w:t>
            </w:r>
          </w:p>
          <w:p w:rsidR="00AD6C9F" w:rsidRPr="00DF31C5" w:rsidRDefault="00AD6C9F" w:rsidP="00175A9F">
            <w:pPr>
              <w:jc w:val="both"/>
              <w:rPr>
                <w:sz w:val="22"/>
                <w:szCs w:val="22"/>
              </w:rPr>
            </w:pPr>
            <w:r w:rsidRPr="00DF31C5">
              <w:rPr>
                <w:sz w:val="22"/>
                <w:szCs w:val="22"/>
              </w:rPr>
              <w:t>- Giám đốc Sở;</w:t>
            </w:r>
          </w:p>
          <w:p w:rsidR="00AD6C9F" w:rsidRPr="00DF31C5" w:rsidRDefault="00AD6C9F" w:rsidP="00175A9F">
            <w:pPr>
              <w:jc w:val="both"/>
              <w:rPr>
                <w:szCs w:val="28"/>
              </w:rPr>
            </w:pPr>
            <w:r w:rsidRPr="00DF31C5">
              <w:rPr>
                <w:sz w:val="22"/>
                <w:szCs w:val="22"/>
              </w:rPr>
              <w:t>- Lưu VT, VP.</w:t>
            </w:r>
            <w:r w:rsidRPr="00DF31C5">
              <w:rPr>
                <w:sz w:val="24"/>
              </w:rPr>
              <w:t xml:space="preserve"> </w:t>
            </w:r>
            <w:r w:rsidRPr="00DF31C5">
              <w:rPr>
                <w:sz w:val="24"/>
              </w:rPr>
              <w:tab/>
            </w:r>
          </w:p>
        </w:tc>
        <w:tc>
          <w:tcPr>
            <w:tcW w:w="4644" w:type="dxa"/>
          </w:tcPr>
          <w:p w:rsidR="00AD6C9F" w:rsidRPr="00DF31C5" w:rsidRDefault="00AD6C9F" w:rsidP="00175A9F">
            <w:pPr>
              <w:jc w:val="center"/>
              <w:rPr>
                <w:b/>
              </w:rPr>
            </w:pPr>
            <w:r w:rsidRPr="00DF31C5">
              <w:rPr>
                <w:b/>
                <w:szCs w:val="28"/>
              </w:rPr>
              <w:t>G</w:t>
            </w:r>
            <w:r w:rsidRPr="00DF31C5">
              <w:rPr>
                <w:b/>
              </w:rPr>
              <w:t>IÁM ĐỐC</w:t>
            </w:r>
          </w:p>
          <w:p w:rsidR="00AD6C9F" w:rsidRPr="00DF31C5" w:rsidRDefault="00AD6C9F" w:rsidP="00175A9F">
            <w:pPr>
              <w:jc w:val="center"/>
              <w:rPr>
                <w:b/>
              </w:rPr>
            </w:pPr>
          </w:p>
          <w:p w:rsidR="00AD6C9F" w:rsidRPr="00DF31C5" w:rsidRDefault="00AD6C9F" w:rsidP="00175A9F">
            <w:pPr>
              <w:jc w:val="center"/>
              <w:rPr>
                <w:b/>
              </w:rPr>
            </w:pPr>
          </w:p>
          <w:p w:rsidR="00AD6C9F" w:rsidRPr="00DF31C5" w:rsidRDefault="00AD6C9F" w:rsidP="00175A9F">
            <w:pPr>
              <w:jc w:val="center"/>
              <w:rPr>
                <w:b/>
              </w:rPr>
            </w:pPr>
          </w:p>
          <w:p w:rsidR="00AD6C9F" w:rsidRPr="00DF31C5" w:rsidRDefault="00AD6C9F" w:rsidP="00175A9F">
            <w:pPr>
              <w:jc w:val="center"/>
              <w:rPr>
                <w:b/>
              </w:rPr>
            </w:pPr>
          </w:p>
          <w:p w:rsidR="00AD6C9F" w:rsidRPr="00DF31C5" w:rsidRDefault="00AD6C9F" w:rsidP="00175A9F">
            <w:pPr>
              <w:jc w:val="center"/>
              <w:rPr>
                <w:b/>
              </w:rPr>
            </w:pPr>
          </w:p>
          <w:p w:rsidR="00AD6C9F" w:rsidRPr="00DF31C5" w:rsidRDefault="00AD6C9F" w:rsidP="00175A9F">
            <w:pPr>
              <w:jc w:val="center"/>
              <w:rPr>
                <w:szCs w:val="28"/>
              </w:rPr>
            </w:pPr>
            <w:r w:rsidRPr="00DF31C5">
              <w:rPr>
                <w:b/>
                <w:szCs w:val="28"/>
              </w:rPr>
              <w:t>Nguyễn Công Tự</w:t>
            </w:r>
          </w:p>
        </w:tc>
      </w:tr>
    </w:tbl>
    <w:p w:rsidR="00AD6C9F" w:rsidRPr="00DF31C5" w:rsidRDefault="00AD6C9F" w:rsidP="00AD6C9F">
      <w:pPr>
        <w:shd w:val="clear" w:color="auto" w:fill="FFFFFF"/>
        <w:ind w:firstLine="567"/>
        <w:jc w:val="both"/>
      </w:pPr>
    </w:p>
    <w:p w:rsidR="00AD6C9F" w:rsidRPr="00DF31C5" w:rsidRDefault="00AD6C9F" w:rsidP="00AD6C9F"/>
    <w:p w:rsidR="00E42128" w:rsidRPr="00DF31C5" w:rsidRDefault="00E42128"/>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 w:rsidR="00133565" w:rsidRPr="00DF31C5" w:rsidRDefault="00133565">
      <w:pPr>
        <w:sectPr w:rsidR="00133565" w:rsidRPr="00DF31C5" w:rsidSect="00133565">
          <w:headerReference w:type="default" r:id="rId7"/>
          <w:pgSz w:w="11907" w:h="16840" w:code="9"/>
          <w:pgMar w:top="1134" w:right="1134" w:bottom="1134" w:left="1701" w:header="720" w:footer="720" w:gutter="0"/>
          <w:cols w:space="720"/>
          <w:titlePg/>
          <w:docGrid w:linePitch="381"/>
        </w:sectPr>
      </w:pPr>
    </w:p>
    <w:p w:rsidR="00133565" w:rsidRPr="00DF31C5" w:rsidRDefault="00133565" w:rsidP="00133565">
      <w:pPr>
        <w:jc w:val="center"/>
        <w:rPr>
          <w:b/>
          <w:bCs/>
          <w:szCs w:val="28"/>
        </w:rPr>
      </w:pPr>
      <w:r w:rsidRPr="00DF31C5">
        <w:rPr>
          <w:b/>
          <w:bCs/>
          <w:szCs w:val="28"/>
        </w:rPr>
        <w:lastRenderedPageBreak/>
        <w:t xml:space="preserve">TÌNH HÌNH, KẾT QUẢ GIẢI QUYẾT THỦ TỤC HÀNH CHÍNH </w:t>
      </w:r>
    </w:p>
    <w:p w:rsidR="00133565" w:rsidRPr="00DF31C5" w:rsidRDefault="00133565" w:rsidP="00133565">
      <w:pPr>
        <w:jc w:val="center"/>
        <w:rPr>
          <w:szCs w:val="28"/>
        </w:rPr>
      </w:pPr>
      <w:r w:rsidRPr="00DF31C5">
        <w:rPr>
          <w:b/>
          <w:bCs/>
          <w:szCs w:val="28"/>
        </w:rPr>
        <w:t>Kỳ báo cáo: Năm 2022</w:t>
      </w:r>
    </w:p>
    <w:p w:rsidR="00133565" w:rsidRPr="00DF31C5" w:rsidRDefault="00133565" w:rsidP="00133565">
      <w:pPr>
        <w:jc w:val="center"/>
        <w:rPr>
          <w:szCs w:val="28"/>
        </w:rPr>
      </w:pPr>
      <w:r w:rsidRPr="00DF31C5">
        <w:rPr>
          <w:i/>
          <w:iCs/>
          <w:szCs w:val="28"/>
        </w:rPr>
        <w:t>(Từ ngày 05/12/2021 đến ngày 04/12/2022)</w:t>
      </w:r>
    </w:p>
    <w:p w:rsidR="00133565" w:rsidRPr="00DF31C5" w:rsidRDefault="00133565" w:rsidP="00133565">
      <w:pPr>
        <w:rPr>
          <w:lang w:val="en-GB"/>
        </w:rPr>
      </w:pPr>
    </w:p>
    <w:tbl>
      <w:tblPr>
        <w:tblW w:w="14594" w:type="dxa"/>
        <w:tblInd w:w="250" w:type="dxa"/>
        <w:tblLayout w:type="fixed"/>
        <w:tblLook w:val="04A0" w:firstRow="1" w:lastRow="0" w:firstColumn="1" w:lastColumn="0" w:noHBand="0" w:noVBand="1"/>
      </w:tblPr>
      <w:tblGrid>
        <w:gridCol w:w="632"/>
        <w:gridCol w:w="2628"/>
        <w:gridCol w:w="851"/>
        <w:gridCol w:w="850"/>
        <w:gridCol w:w="993"/>
        <w:gridCol w:w="855"/>
        <w:gridCol w:w="846"/>
        <w:gridCol w:w="1133"/>
        <w:gridCol w:w="1134"/>
        <w:gridCol w:w="993"/>
        <w:gridCol w:w="815"/>
        <w:gridCol w:w="1169"/>
        <w:gridCol w:w="992"/>
        <w:gridCol w:w="703"/>
      </w:tblGrid>
      <w:tr w:rsidR="00DF31C5" w:rsidRPr="00DF31C5" w:rsidTr="00133565">
        <w:trPr>
          <w:trHeight w:val="570"/>
        </w:trPr>
        <w:tc>
          <w:tcPr>
            <w:tcW w:w="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STT</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Lĩnh vực giải quyết</w:t>
            </w:r>
          </w:p>
        </w:tc>
        <w:tc>
          <w:tcPr>
            <w:tcW w:w="3549" w:type="dxa"/>
            <w:gridSpan w:val="4"/>
            <w:tcBorders>
              <w:top w:val="single" w:sz="4" w:space="0" w:color="auto"/>
              <w:left w:val="nil"/>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Số lượng hồ sơ tiếp nhận</w:t>
            </w:r>
          </w:p>
        </w:tc>
        <w:tc>
          <w:tcPr>
            <w:tcW w:w="4106" w:type="dxa"/>
            <w:gridSpan w:val="4"/>
            <w:vMerge w:val="restart"/>
            <w:tcBorders>
              <w:top w:val="single" w:sz="4" w:space="0" w:color="auto"/>
              <w:left w:val="nil"/>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Số lượng hồ sơ đã giải quyết</w:t>
            </w:r>
          </w:p>
        </w:tc>
        <w:tc>
          <w:tcPr>
            <w:tcW w:w="2976" w:type="dxa"/>
            <w:gridSpan w:val="3"/>
            <w:vMerge w:val="restart"/>
            <w:tcBorders>
              <w:top w:val="single" w:sz="4" w:space="0" w:color="auto"/>
              <w:left w:val="nil"/>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Số lượng hồ sơ đang giải quyết</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33565" w:rsidRPr="00DF31C5" w:rsidRDefault="00133565" w:rsidP="00001651">
            <w:pPr>
              <w:jc w:val="center"/>
              <w:rPr>
                <w:b/>
                <w:bCs/>
                <w:sz w:val="24"/>
              </w:rPr>
            </w:pPr>
            <w:r w:rsidRPr="00DF31C5">
              <w:rPr>
                <w:b/>
                <w:bCs/>
                <w:sz w:val="24"/>
              </w:rPr>
              <w:t>Ghi chú</w:t>
            </w:r>
          </w:p>
        </w:tc>
      </w:tr>
      <w:tr w:rsidR="00DF31C5" w:rsidRPr="00DF31C5" w:rsidTr="00133565">
        <w:trPr>
          <w:trHeight w:val="30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Tổng số</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Trong kỳ</w:t>
            </w:r>
          </w:p>
        </w:tc>
        <w:tc>
          <w:tcPr>
            <w:tcW w:w="855" w:type="dxa"/>
            <w:vMerge w:val="restart"/>
            <w:tcBorders>
              <w:top w:val="single" w:sz="4" w:space="0" w:color="auto"/>
              <w:left w:val="nil"/>
              <w:right w:val="single" w:sz="4" w:space="0" w:color="auto"/>
            </w:tcBorders>
            <w:shd w:val="clear" w:color="000000" w:fill="FFFFFF"/>
            <w:vAlign w:val="center"/>
          </w:tcPr>
          <w:p w:rsidR="00133565" w:rsidRPr="00DF31C5" w:rsidRDefault="00133565" w:rsidP="00001651">
            <w:pPr>
              <w:jc w:val="center"/>
              <w:rPr>
                <w:b/>
                <w:bCs/>
                <w:sz w:val="24"/>
              </w:rPr>
            </w:pPr>
            <w:r w:rsidRPr="00DF31C5">
              <w:rPr>
                <w:b/>
                <w:bCs/>
                <w:sz w:val="24"/>
              </w:rPr>
              <w:t>Từ kỳ trước</w:t>
            </w:r>
          </w:p>
        </w:tc>
        <w:tc>
          <w:tcPr>
            <w:tcW w:w="4106" w:type="dxa"/>
            <w:gridSpan w:val="4"/>
            <w:vMerge/>
            <w:tcBorders>
              <w:left w:val="nil"/>
              <w:bottom w:val="single" w:sz="4" w:space="0" w:color="auto"/>
              <w:right w:val="single" w:sz="4" w:space="0" w:color="auto"/>
            </w:tcBorders>
            <w:shd w:val="clear" w:color="000000" w:fill="FFFFFF"/>
            <w:vAlign w:val="center"/>
          </w:tcPr>
          <w:p w:rsidR="00133565" w:rsidRPr="00DF31C5" w:rsidRDefault="00133565" w:rsidP="00001651">
            <w:pPr>
              <w:jc w:val="center"/>
              <w:rPr>
                <w:b/>
                <w:bCs/>
                <w:sz w:val="24"/>
              </w:rPr>
            </w:pPr>
          </w:p>
        </w:tc>
        <w:tc>
          <w:tcPr>
            <w:tcW w:w="2976" w:type="dxa"/>
            <w:gridSpan w:val="3"/>
            <w:vMerge/>
            <w:tcBorders>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133565" w:rsidRPr="00DF31C5" w:rsidRDefault="00133565" w:rsidP="00001651">
            <w:pPr>
              <w:rPr>
                <w:b/>
                <w:bCs/>
                <w:sz w:val="24"/>
              </w:rPr>
            </w:pPr>
          </w:p>
        </w:tc>
      </w:tr>
      <w:tr w:rsidR="00DF31C5" w:rsidRPr="00DF31C5" w:rsidTr="00133565">
        <w:trPr>
          <w:trHeight w:val="1287"/>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p>
        </w:tc>
        <w:tc>
          <w:tcPr>
            <w:tcW w:w="851" w:type="dxa"/>
            <w:vMerge/>
            <w:tcBorders>
              <w:top w:val="nil"/>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Trực tuyến</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 xml:space="preserve">Trực tiếp, dịch vụ bưu chính </w:t>
            </w:r>
          </w:p>
        </w:tc>
        <w:tc>
          <w:tcPr>
            <w:tcW w:w="855" w:type="dxa"/>
            <w:vMerge/>
            <w:tcBorders>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p>
        </w:tc>
        <w:tc>
          <w:tcPr>
            <w:tcW w:w="846" w:type="dxa"/>
            <w:tcBorders>
              <w:top w:val="nil"/>
              <w:left w:val="single" w:sz="4" w:space="0" w:color="auto"/>
              <w:bottom w:val="single" w:sz="4" w:space="0" w:color="auto"/>
              <w:right w:val="single" w:sz="4" w:space="0" w:color="auto"/>
            </w:tcBorders>
            <w:shd w:val="clear" w:color="000000" w:fill="FFFFFF"/>
            <w:vAlign w:val="center"/>
          </w:tcPr>
          <w:p w:rsidR="00133565" w:rsidRPr="00DF31C5" w:rsidRDefault="00133565" w:rsidP="00001651">
            <w:pPr>
              <w:jc w:val="center"/>
              <w:rPr>
                <w:b/>
                <w:bCs/>
                <w:sz w:val="24"/>
              </w:rPr>
            </w:pPr>
            <w:r w:rsidRPr="00DF31C5">
              <w:rPr>
                <w:b/>
                <w:bCs/>
                <w:sz w:val="24"/>
              </w:rPr>
              <w:t>Tổng số</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Trước hạn</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Đúng hạn</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Quá hạn</w:t>
            </w:r>
          </w:p>
        </w:tc>
        <w:tc>
          <w:tcPr>
            <w:tcW w:w="815" w:type="dxa"/>
            <w:tcBorders>
              <w:top w:val="nil"/>
              <w:left w:val="single" w:sz="4" w:space="0" w:color="auto"/>
              <w:bottom w:val="single" w:sz="4" w:space="0" w:color="auto"/>
              <w:right w:val="single" w:sz="4" w:space="0" w:color="auto"/>
            </w:tcBorders>
            <w:vAlign w:val="center"/>
            <w:hideMark/>
          </w:tcPr>
          <w:p w:rsidR="00133565" w:rsidRPr="00DF31C5" w:rsidRDefault="00133565" w:rsidP="00001651">
            <w:pPr>
              <w:jc w:val="center"/>
              <w:rPr>
                <w:b/>
                <w:bCs/>
                <w:sz w:val="24"/>
              </w:rPr>
            </w:pPr>
            <w:r w:rsidRPr="00DF31C5">
              <w:rPr>
                <w:b/>
                <w:bCs/>
                <w:sz w:val="24"/>
              </w:rPr>
              <w:t>Tổng số</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565" w:rsidRPr="00DF31C5" w:rsidRDefault="00133565" w:rsidP="00001651">
            <w:pPr>
              <w:jc w:val="center"/>
              <w:rPr>
                <w:b/>
                <w:bCs/>
                <w:sz w:val="24"/>
              </w:rPr>
            </w:pPr>
            <w:r w:rsidRPr="00DF31C5">
              <w:rPr>
                <w:b/>
                <w:bCs/>
                <w:sz w:val="24"/>
              </w:rPr>
              <w:t>Trong hạn</w:t>
            </w:r>
          </w:p>
        </w:tc>
        <w:tc>
          <w:tcPr>
            <w:tcW w:w="992" w:type="dxa"/>
            <w:tcBorders>
              <w:top w:val="nil"/>
              <w:left w:val="single" w:sz="4" w:space="0" w:color="auto"/>
              <w:bottom w:val="single" w:sz="4" w:space="0" w:color="auto"/>
              <w:right w:val="single" w:sz="4" w:space="0" w:color="auto"/>
            </w:tcBorders>
            <w:vAlign w:val="center"/>
            <w:hideMark/>
          </w:tcPr>
          <w:p w:rsidR="00133565" w:rsidRPr="00DF31C5" w:rsidRDefault="00133565" w:rsidP="00001651">
            <w:pPr>
              <w:rPr>
                <w:b/>
                <w:bCs/>
                <w:sz w:val="24"/>
              </w:rPr>
            </w:pPr>
            <w:r w:rsidRPr="00DF31C5">
              <w:rPr>
                <w:b/>
                <w:bCs/>
                <w:sz w:val="24"/>
              </w:rPr>
              <w:t>Quá hạn</w:t>
            </w:r>
          </w:p>
        </w:tc>
        <w:tc>
          <w:tcPr>
            <w:tcW w:w="703" w:type="dxa"/>
            <w:tcBorders>
              <w:top w:val="single" w:sz="4" w:space="0" w:color="auto"/>
              <w:left w:val="single" w:sz="4" w:space="0" w:color="auto"/>
              <w:bottom w:val="single" w:sz="4" w:space="0" w:color="000000"/>
              <w:right w:val="single" w:sz="4" w:space="0" w:color="auto"/>
            </w:tcBorders>
            <w:vAlign w:val="center"/>
            <w:hideMark/>
          </w:tcPr>
          <w:p w:rsidR="00133565" w:rsidRPr="00DF31C5" w:rsidRDefault="00133565" w:rsidP="00001651">
            <w:pPr>
              <w:rPr>
                <w:b/>
                <w:bCs/>
                <w:sz w:val="24"/>
              </w:rPr>
            </w:pPr>
          </w:p>
        </w:tc>
      </w:tr>
      <w:tr w:rsidR="00DF31C5" w:rsidRPr="00DF31C5" w:rsidTr="00133565">
        <w:trPr>
          <w:trHeight w:val="315"/>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rsidR="00133565" w:rsidRPr="00DF31C5" w:rsidRDefault="00133565" w:rsidP="00133565">
            <w:pPr>
              <w:jc w:val="center"/>
              <w:rPr>
                <w:iCs/>
                <w:sz w:val="24"/>
              </w:rPr>
            </w:pPr>
            <w:r w:rsidRPr="00DF31C5">
              <w:rPr>
                <w:iCs/>
                <w:sz w:val="24"/>
              </w:rPr>
              <w:t>01</w:t>
            </w:r>
          </w:p>
        </w:tc>
        <w:tc>
          <w:tcPr>
            <w:tcW w:w="2628"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133565">
            <w:pPr>
              <w:rPr>
                <w:sz w:val="24"/>
              </w:rPr>
            </w:pPr>
            <w:r w:rsidRPr="00DF31C5">
              <w:rPr>
                <w:sz w:val="24"/>
              </w:rPr>
              <w:t>Trung tâm DVVL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3058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3043</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2937</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2937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121</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121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p>
        </w:tc>
      </w:tr>
      <w:tr w:rsidR="00DF31C5" w:rsidRPr="00DF31C5" w:rsidTr="00133565">
        <w:trPr>
          <w:trHeight w:val="315"/>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rsidR="00133565" w:rsidRPr="00DF31C5" w:rsidRDefault="00133565" w:rsidP="00001651">
            <w:pPr>
              <w:jc w:val="center"/>
              <w:rPr>
                <w:iCs/>
                <w:sz w:val="24"/>
              </w:rPr>
            </w:pPr>
            <w:r w:rsidRPr="00DF31C5">
              <w:rPr>
                <w:iCs/>
                <w:sz w:val="24"/>
              </w:rPr>
              <w:t>02</w:t>
            </w:r>
          </w:p>
        </w:tc>
        <w:tc>
          <w:tcPr>
            <w:tcW w:w="2628"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r w:rsidRPr="00DF31C5">
              <w:rPr>
                <w:sz w:val="24"/>
              </w:rPr>
              <w:t>Trung tâm Bảo trợ xã hội</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p>
        </w:tc>
      </w:tr>
      <w:tr w:rsidR="00DF31C5" w:rsidRPr="00DF31C5" w:rsidTr="00133565">
        <w:trPr>
          <w:trHeight w:val="315"/>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rsidR="00133565" w:rsidRPr="00DF31C5" w:rsidRDefault="00133565" w:rsidP="00001651">
            <w:pPr>
              <w:jc w:val="center"/>
              <w:rPr>
                <w:iCs/>
                <w:sz w:val="24"/>
              </w:rPr>
            </w:pPr>
            <w:r w:rsidRPr="00DF31C5">
              <w:rPr>
                <w:iCs/>
                <w:sz w:val="24"/>
              </w:rPr>
              <w:t>03</w:t>
            </w:r>
          </w:p>
        </w:tc>
        <w:tc>
          <w:tcPr>
            <w:tcW w:w="2628"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r w:rsidRPr="00DF31C5">
              <w:rPr>
                <w:sz w:val="24"/>
              </w:rPr>
              <w:t>Phòng Lao động - Việc làm và Giáo dục nghề nghiệp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20</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81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01</w:t>
            </w:r>
          </w:p>
        </w:tc>
        <w:tc>
          <w:tcPr>
            <w:tcW w:w="1169"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r w:rsidRPr="00DF31C5">
              <w:rPr>
                <w:sz w:val="24"/>
              </w:rPr>
              <w:t>0</w:t>
            </w: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p>
        </w:tc>
      </w:tr>
      <w:tr w:rsidR="00DF31C5" w:rsidRPr="00DF31C5" w:rsidTr="00133565">
        <w:trPr>
          <w:trHeight w:val="315"/>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rsidR="00133565" w:rsidRPr="00DF31C5" w:rsidRDefault="00133565" w:rsidP="00001651">
            <w:pPr>
              <w:jc w:val="center"/>
              <w:rPr>
                <w:iCs/>
                <w:sz w:val="24"/>
              </w:rPr>
            </w:pPr>
            <w:r w:rsidRPr="00DF31C5">
              <w:rPr>
                <w:iCs/>
                <w:sz w:val="24"/>
              </w:rPr>
              <w:t>04</w:t>
            </w:r>
          </w:p>
        </w:tc>
        <w:tc>
          <w:tcPr>
            <w:tcW w:w="2628"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r w:rsidRPr="00DF31C5">
              <w:rPr>
                <w:sz w:val="24"/>
              </w:rPr>
              <w:t>Phòng Người có công</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5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46"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3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1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69"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p>
        </w:tc>
      </w:tr>
      <w:tr w:rsidR="00DF31C5" w:rsidRPr="00DF31C5" w:rsidTr="006C4178">
        <w:trPr>
          <w:trHeight w:val="315"/>
        </w:trPr>
        <w:tc>
          <w:tcPr>
            <w:tcW w:w="3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33565" w:rsidRPr="00DF31C5" w:rsidRDefault="00133565" w:rsidP="00133565">
            <w:pPr>
              <w:jc w:val="center"/>
              <w:rPr>
                <w:b/>
                <w:szCs w:val="28"/>
              </w:rPr>
            </w:pPr>
            <w:r w:rsidRPr="00DF31C5">
              <w:rPr>
                <w:b/>
                <w:szCs w:val="28"/>
              </w:rPr>
              <w:t>Tổng số</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5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46"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3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815"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1169"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33565" w:rsidRPr="00DF31C5" w:rsidRDefault="00133565" w:rsidP="00001651">
            <w:pPr>
              <w:jc w:val="center"/>
              <w:rPr>
                <w:sz w:val="24"/>
              </w:rPr>
            </w:pPr>
          </w:p>
        </w:tc>
        <w:tc>
          <w:tcPr>
            <w:tcW w:w="703" w:type="dxa"/>
            <w:tcBorders>
              <w:top w:val="single" w:sz="4" w:space="0" w:color="auto"/>
              <w:left w:val="nil"/>
              <w:bottom w:val="single" w:sz="4" w:space="0" w:color="auto"/>
              <w:right w:val="single" w:sz="4" w:space="0" w:color="auto"/>
            </w:tcBorders>
            <w:shd w:val="clear" w:color="auto" w:fill="auto"/>
            <w:noWrap/>
            <w:vAlign w:val="bottom"/>
          </w:tcPr>
          <w:p w:rsidR="00133565" w:rsidRPr="00DF31C5" w:rsidRDefault="00133565" w:rsidP="00001651">
            <w:pPr>
              <w:rPr>
                <w:sz w:val="24"/>
              </w:rPr>
            </w:pPr>
          </w:p>
        </w:tc>
      </w:tr>
    </w:tbl>
    <w:p w:rsidR="00133565" w:rsidRPr="00DF31C5" w:rsidRDefault="00133565" w:rsidP="00133565">
      <w:pPr>
        <w:rPr>
          <w:szCs w:val="28"/>
        </w:rPr>
      </w:pPr>
    </w:p>
    <w:p w:rsidR="00133565" w:rsidRPr="00DF31C5" w:rsidRDefault="00133565" w:rsidP="00133565">
      <w:pPr>
        <w:ind w:firstLine="720"/>
        <w:rPr>
          <w:szCs w:val="28"/>
        </w:rPr>
      </w:pPr>
    </w:p>
    <w:p w:rsidR="00133565" w:rsidRPr="00DF31C5" w:rsidRDefault="00133565" w:rsidP="00133565">
      <w:pPr>
        <w:jc w:val="both"/>
        <w:rPr>
          <w:sz w:val="24"/>
        </w:rPr>
      </w:pPr>
    </w:p>
    <w:p w:rsidR="00133565" w:rsidRPr="00DF31C5" w:rsidRDefault="00133565"/>
    <w:sectPr w:rsidR="00133565" w:rsidRPr="00DF31C5" w:rsidSect="00133565">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A4" w:rsidRDefault="00444FA4">
      <w:r>
        <w:separator/>
      </w:r>
    </w:p>
  </w:endnote>
  <w:endnote w:type="continuationSeparator" w:id="0">
    <w:p w:rsidR="00444FA4" w:rsidRDefault="0044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A4" w:rsidRDefault="00444FA4">
      <w:r>
        <w:separator/>
      </w:r>
    </w:p>
  </w:footnote>
  <w:footnote w:type="continuationSeparator" w:id="0">
    <w:p w:rsidR="00444FA4" w:rsidRDefault="0044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B3" w:rsidRDefault="008E5E70">
    <w:pPr>
      <w:pStyle w:val="Header"/>
      <w:jc w:val="center"/>
    </w:pPr>
    <w:r>
      <w:fldChar w:fldCharType="begin"/>
    </w:r>
    <w:r>
      <w:instrText xml:space="preserve"> PAGE   \* MERGEFORMAT </w:instrText>
    </w:r>
    <w:r>
      <w:fldChar w:fldCharType="separate"/>
    </w:r>
    <w:r w:rsidR="00B71A50">
      <w:rPr>
        <w:noProof/>
      </w:rPr>
      <w:t>7</w:t>
    </w:r>
    <w:r>
      <w:rPr>
        <w:noProof/>
      </w:rPr>
      <w:fldChar w:fldCharType="end"/>
    </w:r>
  </w:p>
  <w:p w:rsidR="00D648B3" w:rsidRDefault="0044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41E74"/>
    <w:multiLevelType w:val="hybridMultilevel"/>
    <w:tmpl w:val="148226BE"/>
    <w:lvl w:ilvl="0" w:tplc="01765B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9F"/>
    <w:rsid w:val="00033DAE"/>
    <w:rsid w:val="00067F4C"/>
    <w:rsid w:val="00133565"/>
    <w:rsid w:val="002011C2"/>
    <w:rsid w:val="0022014A"/>
    <w:rsid w:val="002A0D83"/>
    <w:rsid w:val="0030590C"/>
    <w:rsid w:val="003704D1"/>
    <w:rsid w:val="003B716F"/>
    <w:rsid w:val="0040340E"/>
    <w:rsid w:val="004321F0"/>
    <w:rsid w:val="00442673"/>
    <w:rsid w:val="00444FA4"/>
    <w:rsid w:val="00485ED1"/>
    <w:rsid w:val="005C0A3F"/>
    <w:rsid w:val="005C3C7E"/>
    <w:rsid w:val="00784223"/>
    <w:rsid w:val="008E5E70"/>
    <w:rsid w:val="009C67E9"/>
    <w:rsid w:val="00A91D2C"/>
    <w:rsid w:val="00A97073"/>
    <w:rsid w:val="00AD6C9F"/>
    <w:rsid w:val="00AD6F30"/>
    <w:rsid w:val="00B20CC3"/>
    <w:rsid w:val="00B53000"/>
    <w:rsid w:val="00B71A50"/>
    <w:rsid w:val="00BB700F"/>
    <w:rsid w:val="00CB5D9F"/>
    <w:rsid w:val="00D71FB0"/>
    <w:rsid w:val="00D76A2B"/>
    <w:rsid w:val="00DF31C5"/>
    <w:rsid w:val="00E42128"/>
    <w:rsid w:val="00F1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04D87-B98C-414E-92C9-AEEE0CE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9F"/>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AD6C9F"/>
    <w:pPr>
      <w:keepNext/>
      <w:jc w:val="center"/>
      <w:outlineLvl w:val="3"/>
    </w:pPr>
    <w:rPr>
      <w:rFonts w:ascii=".VnTime" w:eastAsia="Arial Unicode MS" w:hAnsi=".VnTime" w:cs="Arial Unicode MS"/>
      <w:i/>
      <w:iC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6C9F"/>
    <w:rPr>
      <w:rFonts w:ascii=".VnTime" w:eastAsia="Arial Unicode MS" w:hAnsi=".VnTime" w:cs="Arial Unicode MS"/>
      <w:i/>
      <w:iCs/>
      <w:sz w:val="28"/>
      <w:szCs w:val="28"/>
      <w:lang w:eastAsia="zh-CN"/>
    </w:rPr>
  </w:style>
  <w:style w:type="paragraph" w:styleId="Header">
    <w:name w:val="header"/>
    <w:basedOn w:val="Normal"/>
    <w:link w:val="HeaderChar"/>
    <w:uiPriority w:val="99"/>
    <w:rsid w:val="00AD6C9F"/>
    <w:pPr>
      <w:tabs>
        <w:tab w:val="center" w:pos="4680"/>
        <w:tab w:val="right" w:pos="9360"/>
      </w:tabs>
    </w:pPr>
  </w:style>
  <w:style w:type="character" w:customStyle="1" w:styleId="HeaderChar">
    <w:name w:val="Header Char"/>
    <w:basedOn w:val="DefaultParagraphFont"/>
    <w:link w:val="Header"/>
    <w:uiPriority w:val="99"/>
    <w:rsid w:val="00AD6C9F"/>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AD6C9F"/>
    <w:pPr>
      <w:spacing w:after="120"/>
      <w:ind w:left="283"/>
    </w:pPr>
  </w:style>
  <w:style w:type="character" w:customStyle="1" w:styleId="BodyTextIndentChar">
    <w:name w:val="Body Text Indent Char"/>
    <w:basedOn w:val="DefaultParagraphFont"/>
    <w:link w:val="BodyTextIndent"/>
    <w:uiPriority w:val="99"/>
    <w:rsid w:val="00AD6C9F"/>
    <w:rPr>
      <w:rFonts w:ascii="Times New Roman" w:eastAsia="Times New Roman" w:hAnsi="Times New Roman" w:cs="Times New Roman"/>
      <w:sz w:val="28"/>
      <w:szCs w:val="24"/>
    </w:rPr>
  </w:style>
  <w:style w:type="table" w:styleId="TableGrid">
    <w:name w:val="Table Grid"/>
    <w:basedOn w:val="TableNormal"/>
    <w:uiPriority w:val="59"/>
    <w:rsid w:val="00AD6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C9F"/>
    <w:pPr>
      <w:spacing w:before="100" w:beforeAutospacing="1" w:after="100" w:afterAutospacing="1"/>
    </w:pPr>
    <w:rPr>
      <w:sz w:val="24"/>
    </w:rPr>
  </w:style>
  <w:style w:type="character" w:styleId="Strong">
    <w:name w:val="Strong"/>
    <w:basedOn w:val="DefaultParagraphFont"/>
    <w:uiPriority w:val="22"/>
    <w:qFormat/>
    <w:rsid w:val="00AD6C9F"/>
    <w:rPr>
      <w:b/>
      <w:bCs/>
    </w:rPr>
  </w:style>
  <w:style w:type="paragraph" w:styleId="ListParagraph">
    <w:name w:val="List Paragraph"/>
    <w:basedOn w:val="Normal"/>
    <w:uiPriority w:val="34"/>
    <w:qFormat/>
    <w:rsid w:val="00067F4C"/>
    <w:pPr>
      <w:ind w:left="720"/>
      <w:contextualSpacing/>
    </w:pPr>
  </w:style>
  <w:style w:type="character" w:styleId="Emphasis">
    <w:name w:val="Emphasis"/>
    <w:basedOn w:val="DefaultParagraphFont"/>
    <w:uiPriority w:val="20"/>
    <w:qFormat/>
    <w:rsid w:val="00067F4C"/>
    <w:rPr>
      <w:i/>
      <w:iCs/>
    </w:rPr>
  </w:style>
  <w:style w:type="paragraph" w:customStyle="1" w:styleId="normal-p">
    <w:name w:val="normal-p"/>
    <w:basedOn w:val="Normal"/>
    <w:rsid w:val="00F136B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25809">
      <w:bodyDiv w:val="1"/>
      <w:marLeft w:val="0"/>
      <w:marRight w:val="0"/>
      <w:marTop w:val="0"/>
      <w:marBottom w:val="0"/>
      <w:divBdr>
        <w:top w:val="none" w:sz="0" w:space="0" w:color="auto"/>
        <w:left w:val="none" w:sz="0" w:space="0" w:color="auto"/>
        <w:bottom w:val="none" w:sz="0" w:space="0" w:color="auto"/>
        <w:right w:val="none" w:sz="0" w:space="0" w:color="auto"/>
      </w:divBdr>
    </w:div>
    <w:div w:id="12469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Administrator</cp:lastModifiedBy>
  <cp:revision>14</cp:revision>
  <dcterms:created xsi:type="dcterms:W3CDTF">2022-11-29T01:53:00Z</dcterms:created>
  <dcterms:modified xsi:type="dcterms:W3CDTF">2022-11-30T23:10:00Z</dcterms:modified>
</cp:coreProperties>
</file>